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22" w:rsidRDefault="008B0722" w:rsidP="008B0722">
      <w:pPr>
        <w:jc w:val="center"/>
        <w:rPr>
          <w:b/>
          <w:sz w:val="24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2571750" cy="685800"/>
            <wp:effectExtent l="19050" t="19050" r="19050" b="19050"/>
            <wp:docPr id="1" name="Picture 1" descr="Manor Gree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or Green College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85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5281" w:rsidRPr="00FE050E" w:rsidRDefault="00E37C69" w:rsidP="008B0722">
      <w:pPr>
        <w:jc w:val="center"/>
        <w:rPr>
          <w:b/>
          <w:sz w:val="24"/>
        </w:rPr>
      </w:pPr>
      <w:r w:rsidRPr="00FE050E">
        <w:rPr>
          <w:b/>
          <w:sz w:val="24"/>
        </w:rPr>
        <w:t>Policy and Procedures for Assessment and Internal Verification</w:t>
      </w:r>
      <w:r w:rsidR="00D274A4">
        <w:rPr>
          <w:b/>
          <w:sz w:val="24"/>
        </w:rPr>
        <w:t xml:space="preserve"> (including Appeals Procedure)</w:t>
      </w:r>
    </w:p>
    <w:p w:rsidR="00EB1E6A" w:rsidRPr="00FE050E" w:rsidRDefault="00EB1E6A" w:rsidP="00E37C69">
      <w:pPr>
        <w:rPr>
          <w:i/>
        </w:rPr>
      </w:pPr>
      <w:r w:rsidRPr="00FE050E">
        <w:rPr>
          <w:i/>
        </w:rPr>
        <w:t>Review date – September 2017</w:t>
      </w:r>
    </w:p>
    <w:p w:rsidR="00E37C69" w:rsidRPr="00D274A4" w:rsidRDefault="00E37C69" w:rsidP="00E37C69">
      <w:pPr>
        <w:rPr>
          <w:b/>
          <w:bCs/>
          <w:sz w:val="28"/>
        </w:rPr>
      </w:pPr>
      <w:r w:rsidRPr="00D274A4">
        <w:rPr>
          <w:b/>
          <w:bCs/>
          <w:sz w:val="28"/>
        </w:rPr>
        <w:t>1 Assessment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Introduction</w:t>
      </w:r>
    </w:p>
    <w:p w:rsidR="00E37C69" w:rsidRPr="00E37C69" w:rsidRDefault="00E37C69" w:rsidP="00E37C69">
      <w:r w:rsidRPr="00E37C69">
        <w:t>Tutors and learners are continuously engaged in the process of assessment, which at times</w:t>
      </w:r>
      <w:r w:rsidR="00813098">
        <w:t xml:space="preserve"> </w:t>
      </w:r>
      <w:r w:rsidRPr="00E37C69">
        <w:t>may be informal or unplanned. Assessment may be initial, formative or summative.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Initial Assessment</w:t>
      </w:r>
    </w:p>
    <w:p w:rsidR="00E37C69" w:rsidRPr="00E37C69" w:rsidRDefault="00E37C69" w:rsidP="00E37C69">
      <w:r w:rsidRPr="00E37C69">
        <w:t>Well-planned and executed initial assessment is integral to the induction process.</w:t>
      </w:r>
      <w:r w:rsidR="00813098">
        <w:t xml:space="preserve"> </w:t>
      </w:r>
      <w:r w:rsidRPr="00E37C69">
        <w:t>This may commence at the enrolment stage with a pre-course questionnaire to</w:t>
      </w:r>
      <w:r w:rsidR="00813098">
        <w:t xml:space="preserve"> </w:t>
      </w:r>
      <w:r w:rsidRPr="00E37C69">
        <w:t>establish learners’ interests, experience and motivation. It may be part of the</w:t>
      </w:r>
      <w:r w:rsidR="00813098">
        <w:t xml:space="preserve"> </w:t>
      </w:r>
      <w:r w:rsidRPr="00E37C69">
        <w:t>”getting to know you” activity in induction. It is important that there is also some</w:t>
      </w:r>
      <w:r w:rsidR="00813098">
        <w:t xml:space="preserve"> </w:t>
      </w:r>
      <w:r w:rsidRPr="00E37C69">
        <w:t>form of skill/knowledge assessment which can be validated by the tutor’s discussion</w:t>
      </w:r>
      <w:r w:rsidR="00813098">
        <w:t xml:space="preserve"> </w:t>
      </w:r>
      <w:r w:rsidRPr="00E37C69">
        <w:t>with individual learners about what they can do and want to be able to do. Initial</w:t>
      </w:r>
      <w:r w:rsidR="00813098">
        <w:t xml:space="preserve"> </w:t>
      </w:r>
      <w:r w:rsidRPr="00E37C69">
        <w:t>assessment:</w:t>
      </w:r>
    </w:p>
    <w:p w:rsidR="00E37C69" w:rsidRPr="00E37C69" w:rsidRDefault="00E37C69" w:rsidP="00813098">
      <w:pPr>
        <w:pStyle w:val="ListParagraph"/>
        <w:numPr>
          <w:ilvl w:val="0"/>
          <w:numId w:val="1"/>
        </w:numPr>
      </w:pPr>
      <w:r w:rsidRPr="00E37C69">
        <w:t>establishes the existing skill and knowledge levels of learners</w:t>
      </w:r>
    </w:p>
    <w:p w:rsidR="00E37C69" w:rsidRPr="00E37C69" w:rsidRDefault="00E37C69" w:rsidP="00813098">
      <w:pPr>
        <w:pStyle w:val="ListParagraph"/>
        <w:numPr>
          <w:ilvl w:val="0"/>
          <w:numId w:val="1"/>
        </w:numPr>
      </w:pPr>
      <w:r w:rsidRPr="00E37C69">
        <w:t>may establish how each learner learns</w:t>
      </w:r>
    </w:p>
    <w:p w:rsidR="00E37C69" w:rsidRPr="00E37C69" w:rsidRDefault="00E37C69" w:rsidP="00813098">
      <w:pPr>
        <w:pStyle w:val="ListParagraph"/>
        <w:numPr>
          <w:ilvl w:val="0"/>
          <w:numId w:val="1"/>
        </w:numPr>
      </w:pPr>
      <w:r w:rsidRPr="00E37C69">
        <w:t>introduces learners to some of the skills and knowledge they will need to</w:t>
      </w:r>
      <w:r w:rsidR="00813098">
        <w:t xml:space="preserve"> </w:t>
      </w:r>
      <w:r w:rsidRPr="00E37C69">
        <w:t>acquire on the programme</w:t>
      </w:r>
    </w:p>
    <w:p w:rsidR="00E37C69" w:rsidRPr="00E37C69" w:rsidRDefault="00E37C69" w:rsidP="00813098">
      <w:pPr>
        <w:pStyle w:val="ListParagraph"/>
        <w:numPr>
          <w:ilvl w:val="0"/>
          <w:numId w:val="1"/>
        </w:numPr>
      </w:pPr>
      <w:r w:rsidRPr="00E37C69">
        <w:t>provides information to help tutors plan the programme</w:t>
      </w:r>
    </w:p>
    <w:p w:rsidR="00E37C69" w:rsidRPr="00E37C69" w:rsidRDefault="00E37C69" w:rsidP="00813098">
      <w:pPr>
        <w:pStyle w:val="ListParagraph"/>
        <w:numPr>
          <w:ilvl w:val="0"/>
          <w:numId w:val="1"/>
        </w:numPr>
      </w:pPr>
      <w:r w:rsidRPr="00E37C69">
        <w:t>can provide a helpful introduction to assessment in a non-threatening way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Formative (Interim) Assessment</w:t>
      </w:r>
    </w:p>
    <w:p w:rsidR="00E37C69" w:rsidRPr="00E37C69" w:rsidRDefault="00E37C69" w:rsidP="00E37C69">
      <w:r w:rsidRPr="00E37C69">
        <w:t>This takes place throughout the course and involves checking that learning is taking</w:t>
      </w:r>
      <w:r w:rsidR="00813098">
        <w:t xml:space="preserve"> </w:t>
      </w:r>
      <w:r w:rsidRPr="00E37C69">
        <w:t>place including:</w:t>
      </w:r>
    </w:p>
    <w:p w:rsidR="00E37C69" w:rsidRPr="00E37C69" w:rsidRDefault="00E37C69" w:rsidP="00813098">
      <w:pPr>
        <w:pStyle w:val="ListParagraph"/>
        <w:numPr>
          <w:ilvl w:val="0"/>
          <w:numId w:val="2"/>
        </w:numPr>
      </w:pPr>
      <w:r w:rsidRPr="00E37C69">
        <w:t>finding out what knowledge and skills the learners have acquired</w:t>
      </w:r>
    </w:p>
    <w:p w:rsidR="00E37C69" w:rsidRPr="00E37C69" w:rsidRDefault="00E37C69" w:rsidP="00813098">
      <w:pPr>
        <w:pStyle w:val="ListParagraph"/>
        <w:numPr>
          <w:ilvl w:val="0"/>
          <w:numId w:val="2"/>
        </w:numPr>
      </w:pPr>
      <w:r w:rsidRPr="00E37C69">
        <w:t>helping to plan the next steps</w:t>
      </w:r>
    </w:p>
    <w:p w:rsidR="00E37C69" w:rsidRPr="00E37C69" w:rsidRDefault="00E37C69" w:rsidP="00813098">
      <w:pPr>
        <w:pStyle w:val="ListParagraph"/>
        <w:numPr>
          <w:ilvl w:val="0"/>
          <w:numId w:val="2"/>
        </w:numPr>
      </w:pPr>
      <w:r w:rsidRPr="00E37C69">
        <w:t>enabling the tutor to give feedback</w:t>
      </w:r>
    </w:p>
    <w:p w:rsidR="00E37C69" w:rsidRPr="00E37C69" w:rsidRDefault="00E37C69" w:rsidP="00813098">
      <w:pPr>
        <w:pStyle w:val="ListParagraph"/>
        <w:numPr>
          <w:ilvl w:val="0"/>
          <w:numId w:val="2"/>
        </w:numPr>
      </w:pPr>
      <w:r w:rsidRPr="00E37C69">
        <w:t>encouraging motivation</w:t>
      </w:r>
    </w:p>
    <w:p w:rsidR="00E37C69" w:rsidRPr="00E37C69" w:rsidRDefault="00E37C69" w:rsidP="00813098">
      <w:pPr>
        <w:pStyle w:val="ListParagraph"/>
        <w:numPr>
          <w:ilvl w:val="0"/>
          <w:numId w:val="2"/>
        </w:numPr>
      </w:pPr>
      <w:r w:rsidRPr="00E37C69">
        <w:t>helping the tutor to modify the course if necessary</w:t>
      </w:r>
    </w:p>
    <w:p w:rsidR="00E37C69" w:rsidRPr="00E37C69" w:rsidRDefault="00E37C69" w:rsidP="00813098">
      <w:pPr>
        <w:pStyle w:val="ListParagraph"/>
        <w:numPr>
          <w:ilvl w:val="0"/>
          <w:numId w:val="2"/>
        </w:numPr>
      </w:pPr>
      <w:r w:rsidRPr="00E37C69">
        <w:t>enabling learners to identify what they have learned and what they want to</w:t>
      </w:r>
      <w:r w:rsidR="00813098">
        <w:t xml:space="preserve"> </w:t>
      </w:r>
      <w:r w:rsidRPr="00E37C69">
        <w:t>learn next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Summative (Final) Assessment</w:t>
      </w:r>
    </w:p>
    <w:p w:rsidR="00E37C69" w:rsidRPr="00E37C69" w:rsidRDefault="00E37C69" w:rsidP="00E37C69">
      <w:r w:rsidRPr="00E37C69">
        <w:t>This is used at the end of a course to:</w:t>
      </w:r>
    </w:p>
    <w:p w:rsidR="00E37C69" w:rsidRPr="00E37C69" w:rsidRDefault="00E37C69" w:rsidP="00813098">
      <w:pPr>
        <w:pStyle w:val="ListParagraph"/>
        <w:numPr>
          <w:ilvl w:val="0"/>
          <w:numId w:val="3"/>
        </w:numPr>
      </w:pPr>
      <w:r w:rsidRPr="00E37C69">
        <w:t>enable learners to recognise their achievements</w:t>
      </w:r>
    </w:p>
    <w:p w:rsidR="00E37C69" w:rsidRPr="00E37C69" w:rsidRDefault="00E37C69" w:rsidP="00813098">
      <w:pPr>
        <w:pStyle w:val="ListParagraph"/>
        <w:numPr>
          <w:ilvl w:val="0"/>
          <w:numId w:val="3"/>
        </w:numPr>
      </w:pPr>
      <w:r w:rsidRPr="00E37C69">
        <w:lastRenderedPageBreak/>
        <w:t>justify awarding a qualification or other recognition of achievement</w:t>
      </w:r>
    </w:p>
    <w:p w:rsidR="00E37C69" w:rsidRPr="00E37C69" w:rsidRDefault="00E37C69" w:rsidP="00813098">
      <w:pPr>
        <w:pStyle w:val="ListParagraph"/>
        <w:numPr>
          <w:ilvl w:val="0"/>
          <w:numId w:val="3"/>
        </w:numPr>
      </w:pPr>
      <w:r w:rsidRPr="00E37C69">
        <w:t>help the tutor plan future courses</w:t>
      </w:r>
    </w:p>
    <w:p w:rsidR="00E37C69" w:rsidRPr="00E37C69" w:rsidRDefault="00E37C69" w:rsidP="00813098">
      <w:pPr>
        <w:pStyle w:val="ListParagraph"/>
        <w:numPr>
          <w:ilvl w:val="0"/>
          <w:numId w:val="3"/>
        </w:numPr>
      </w:pPr>
      <w:r w:rsidRPr="00E37C69">
        <w:t>guide learners through their next steps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Feedback</w:t>
      </w:r>
    </w:p>
    <w:p w:rsidR="00E37C69" w:rsidRPr="00E37C69" w:rsidRDefault="00E37C69" w:rsidP="00E37C69">
      <w:r w:rsidRPr="00E37C69">
        <w:t>Learners appreciate feedback, which should always be given after assessment. It is a vital</w:t>
      </w:r>
      <w:r w:rsidR="00813098">
        <w:t xml:space="preserve"> </w:t>
      </w:r>
      <w:r w:rsidRPr="00E37C69">
        <w:t>part of the learning process and may be given verbally or in writing.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Procedures for learners with learning difficulties and/or disabilities</w:t>
      </w:r>
    </w:p>
    <w:p w:rsidR="00E37C69" w:rsidRPr="00E37C69" w:rsidRDefault="00E37C69" w:rsidP="00E37C69">
      <w:r w:rsidRPr="00E37C69">
        <w:t>Assessment should be a fair test of learners’ knowledge and what they are able to do.</w:t>
      </w:r>
      <w:r w:rsidR="00813098">
        <w:t xml:space="preserve"> </w:t>
      </w:r>
      <w:r w:rsidRPr="00E37C69">
        <w:t>However, for some learners the usual format of assessment may not be suitable. Providers</w:t>
      </w:r>
      <w:r w:rsidR="00813098">
        <w:t xml:space="preserve"> </w:t>
      </w:r>
      <w:r w:rsidRPr="00E37C69">
        <w:t>must ensure that the likely needs of individual learners are anticipated and not merely</w:t>
      </w:r>
      <w:r w:rsidR="00813098">
        <w:t xml:space="preserve"> </w:t>
      </w:r>
      <w:r w:rsidRPr="00E37C69">
        <w:t>responded to as they arise.</w:t>
      </w:r>
      <w:r w:rsidR="00813098">
        <w:t xml:space="preserve"> </w:t>
      </w:r>
      <w:r w:rsidRPr="00E37C69">
        <w:t>Therefore, reasonable adjustments must be made in advance of any assessment activities, as</w:t>
      </w:r>
      <w:r w:rsidR="00813098">
        <w:t xml:space="preserve"> </w:t>
      </w:r>
      <w:r w:rsidRPr="00E37C69">
        <w:t>well as during the assessment process, so that the equity, validity and reliability of the</w:t>
      </w:r>
      <w:r w:rsidR="00813098">
        <w:t xml:space="preserve"> </w:t>
      </w:r>
      <w:r w:rsidRPr="00E37C69">
        <w:t xml:space="preserve">assessments can be assured </w:t>
      </w:r>
      <w:r w:rsidR="00325E7B" w:rsidRPr="00E37C69">
        <w:t>e.g.</w:t>
      </w:r>
      <w:r w:rsidRPr="00E37C69">
        <w:t xml:space="preserve"> adapting assessment materials, such as providing materials in</w:t>
      </w:r>
      <w:r w:rsidR="00813098">
        <w:t xml:space="preserve"> </w:t>
      </w:r>
      <w:r w:rsidRPr="00E37C69">
        <w:t>Braille.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Externally-Accredited Programmes</w:t>
      </w:r>
    </w:p>
    <w:p w:rsidR="00E37C69" w:rsidRPr="00E37C69" w:rsidRDefault="00E37C69" w:rsidP="00E37C69">
      <w:r w:rsidRPr="00E37C69">
        <w:t>For externally-accredited programmes, where assessors are assessing candidates against</w:t>
      </w:r>
      <w:r w:rsidR="00813098">
        <w:t xml:space="preserve"> </w:t>
      </w:r>
      <w:r w:rsidRPr="00E37C69">
        <w:t>agreed standards of competence, the following policy and procedures should be adopted: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1.1 Role and responsibilities of assessor</w:t>
      </w:r>
    </w:p>
    <w:p w:rsidR="00E37C69" w:rsidRPr="00E37C69" w:rsidRDefault="00E37C69" w:rsidP="00E37C69">
      <w:r w:rsidRPr="00E37C69">
        <w:t>An assessor must:</w:t>
      </w:r>
    </w:p>
    <w:p w:rsidR="00E37C69" w:rsidRPr="00E37C69" w:rsidRDefault="00E37C69" w:rsidP="00813098">
      <w:pPr>
        <w:pStyle w:val="ListParagraph"/>
        <w:numPr>
          <w:ilvl w:val="0"/>
          <w:numId w:val="4"/>
        </w:numPr>
      </w:pPr>
      <w:r w:rsidRPr="00E37C69">
        <w:t>have relevant qualifications, knowledge and/or experience in the subject area</w:t>
      </w:r>
      <w:r w:rsidR="00813098">
        <w:t xml:space="preserve"> </w:t>
      </w:r>
      <w:r w:rsidRPr="00E37C69">
        <w:t>being assessed</w:t>
      </w:r>
    </w:p>
    <w:p w:rsidR="00E37C69" w:rsidRPr="00E37C69" w:rsidRDefault="00E37C69" w:rsidP="00813098">
      <w:pPr>
        <w:pStyle w:val="ListParagraph"/>
        <w:numPr>
          <w:ilvl w:val="0"/>
          <w:numId w:val="4"/>
        </w:numPr>
      </w:pPr>
      <w:r w:rsidRPr="00E37C69">
        <w:t>have relevant qualifications, training and experience in the assessment process</w:t>
      </w:r>
    </w:p>
    <w:p w:rsidR="00E37C69" w:rsidRPr="00E37C69" w:rsidRDefault="00E37C69" w:rsidP="00813098">
      <w:pPr>
        <w:pStyle w:val="ListParagraph"/>
        <w:numPr>
          <w:ilvl w:val="0"/>
          <w:numId w:val="4"/>
        </w:numPr>
      </w:pPr>
      <w:r w:rsidRPr="00E37C69">
        <w:t>ensure that learners are fully briefed on assessment procedures and methods,</w:t>
      </w:r>
      <w:r w:rsidR="00813098">
        <w:t xml:space="preserve"> </w:t>
      </w:r>
      <w:r w:rsidRPr="00E37C69">
        <w:t>including appeals procedures</w:t>
      </w:r>
    </w:p>
    <w:p w:rsidR="00E37C69" w:rsidRPr="00E37C69" w:rsidRDefault="00E37C69" w:rsidP="00813098">
      <w:pPr>
        <w:pStyle w:val="ListParagraph"/>
        <w:numPr>
          <w:ilvl w:val="0"/>
          <w:numId w:val="4"/>
        </w:numPr>
      </w:pPr>
      <w:r w:rsidRPr="00E37C69">
        <w:t>involve learners in the assessment planning process</w:t>
      </w:r>
    </w:p>
    <w:p w:rsidR="00E37C69" w:rsidRPr="00E37C69" w:rsidRDefault="00E37C69" w:rsidP="00813098">
      <w:pPr>
        <w:pStyle w:val="ListParagraph"/>
        <w:numPr>
          <w:ilvl w:val="0"/>
          <w:numId w:val="4"/>
        </w:numPr>
      </w:pPr>
      <w:r w:rsidRPr="00E37C69">
        <w:t>provide constructive feedback to learners on assessments, discuss targets and</w:t>
      </w:r>
      <w:r w:rsidR="00813098">
        <w:t xml:space="preserve"> </w:t>
      </w:r>
      <w:r w:rsidRPr="00E37C69">
        <w:t>areas for development on an individual basis</w:t>
      </w:r>
    </w:p>
    <w:p w:rsidR="00E37C69" w:rsidRPr="00E37C69" w:rsidRDefault="00E37C69" w:rsidP="00813098">
      <w:pPr>
        <w:pStyle w:val="ListParagraph"/>
        <w:numPr>
          <w:ilvl w:val="0"/>
          <w:numId w:val="4"/>
        </w:numPr>
      </w:pPr>
      <w:r w:rsidRPr="00E37C69">
        <w:t>adhere to the awarding body’s assessment specification in the judgement of</w:t>
      </w:r>
      <w:r w:rsidR="00813098">
        <w:t xml:space="preserve"> </w:t>
      </w:r>
      <w:r w:rsidRPr="00E37C69">
        <w:t>evidence towards an award</w:t>
      </w:r>
    </w:p>
    <w:p w:rsidR="00813098" w:rsidRDefault="00E37C69" w:rsidP="00813098">
      <w:pPr>
        <w:pStyle w:val="ListParagraph"/>
        <w:numPr>
          <w:ilvl w:val="0"/>
          <w:numId w:val="4"/>
        </w:numPr>
      </w:pPr>
      <w:r w:rsidRPr="00E37C69">
        <w:t>record outcomes of assessment using appropriate documentation</w:t>
      </w:r>
      <w:r w:rsidR="00813098">
        <w:t xml:space="preserve"> </w:t>
      </w:r>
    </w:p>
    <w:p w:rsidR="00E37C69" w:rsidRPr="00E37C69" w:rsidRDefault="00E37C69" w:rsidP="00813098">
      <w:pPr>
        <w:pStyle w:val="ListParagraph"/>
        <w:numPr>
          <w:ilvl w:val="0"/>
          <w:numId w:val="4"/>
        </w:numPr>
      </w:pPr>
      <w:r w:rsidRPr="00E37C69">
        <w:t>follow agreed procedures for recording, storing, reporting and confidentiality</w:t>
      </w:r>
      <w:r w:rsidR="00813098">
        <w:t xml:space="preserve"> </w:t>
      </w:r>
      <w:r w:rsidRPr="00E37C69">
        <w:t>of information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Responsibilities</w:t>
      </w:r>
    </w:p>
    <w:p w:rsidR="00E37C69" w:rsidRPr="00E37C69" w:rsidRDefault="00E37C69" w:rsidP="00E37C69">
      <w:pPr>
        <w:rPr>
          <w:b/>
          <w:bCs/>
        </w:rPr>
      </w:pPr>
      <w:r w:rsidRPr="00E37C69">
        <w:t>An assessor has responsibility for the following</w:t>
      </w:r>
      <w:r w:rsidRPr="00E37C69">
        <w:rPr>
          <w:b/>
          <w:bCs/>
        </w:rPr>
        <w:t>:</w:t>
      </w:r>
    </w:p>
    <w:p w:rsidR="00E37C69" w:rsidRPr="00E37C69" w:rsidRDefault="00E37C69" w:rsidP="00813098">
      <w:pPr>
        <w:pStyle w:val="ListParagraph"/>
        <w:numPr>
          <w:ilvl w:val="0"/>
          <w:numId w:val="5"/>
        </w:numPr>
      </w:pPr>
      <w:r w:rsidRPr="00E37C69">
        <w:t>developing plans for assessing competence with learners</w:t>
      </w:r>
    </w:p>
    <w:p w:rsidR="00E37C69" w:rsidRPr="00E37C69" w:rsidRDefault="00E37C69" w:rsidP="00813098">
      <w:pPr>
        <w:pStyle w:val="ListParagraph"/>
        <w:numPr>
          <w:ilvl w:val="0"/>
          <w:numId w:val="5"/>
        </w:numPr>
      </w:pPr>
      <w:r w:rsidRPr="00E37C69">
        <w:t>judging evidence criteria to make assessment decisions</w:t>
      </w:r>
    </w:p>
    <w:p w:rsidR="00E37C69" w:rsidRPr="00E37C69" w:rsidRDefault="00E37C69" w:rsidP="00813098">
      <w:pPr>
        <w:pStyle w:val="ListParagraph"/>
        <w:numPr>
          <w:ilvl w:val="0"/>
          <w:numId w:val="5"/>
        </w:numPr>
      </w:pPr>
      <w:r w:rsidRPr="00E37C69">
        <w:t>providing feedback and support to learners on assessment decisions</w:t>
      </w:r>
    </w:p>
    <w:p w:rsidR="00E37C69" w:rsidRPr="00E37C69" w:rsidRDefault="00E37C69" w:rsidP="00813098">
      <w:pPr>
        <w:pStyle w:val="ListParagraph"/>
        <w:numPr>
          <w:ilvl w:val="0"/>
          <w:numId w:val="5"/>
        </w:numPr>
      </w:pPr>
      <w:r w:rsidRPr="00E37C69">
        <w:t>contributing to the internal quality assurance process</w:t>
      </w:r>
    </w:p>
    <w:p w:rsidR="00E37C69" w:rsidRPr="00E37C69" w:rsidRDefault="00E37C69" w:rsidP="00E37C69">
      <w:r w:rsidRPr="00E37C69">
        <w:lastRenderedPageBreak/>
        <w:t>It is the assessor’s responsibility to choose the best methods of assessing a candidate</w:t>
      </w:r>
      <w:r w:rsidR="00813098">
        <w:t xml:space="preserve"> </w:t>
      </w:r>
      <w:r w:rsidRPr="00E37C69">
        <w:t>in relation to their individual circumstances. The methods chosen must be valid,</w:t>
      </w:r>
      <w:r w:rsidR="00813098">
        <w:t xml:space="preserve"> </w:t>
      </w:r>
      <w:r w:rsidRPr="00E37C69">
        <w:t>reliable, safe and manageable and suitable to the needs of the candidate.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1.2 Developing plans for assessing competence with candidates</w:t>
      </w:r>
    </w:p>
    <w:p w:rsidR="00E37C69" w:rsidRPr="00E37C69" w:rsidRDefault="00E37C69" w:rsidP="00E37C69">
      <w:r w:rsidRPr="00E37C69">
        <w:t>The assessor should:</w:t>
      </w:r>
    </w:p>
    <w:p w:rsidR="00E37C69" w:rsidRPr="00E37C69" w:rsidRDefault="00E37C69" w:rsidP="00813098">
      <w:pPr>
        <w:pStyle w:val="ListParagraph"/>
        <w:numPr>
          <w:ilvl w:val="0"/>
          <w:numId w:val="6"/>
        </w:numPr>
      </w:pPr>
      <w:r w:rsidRPr="00E37C69">
        <w:t>check that all learners understand the assessment process involved, the</w:t>
      </w:r>
      <w:r w:rsidR="00813098">
        <w:t xml:space="preserve"> </w:t>
      </w:r>
      <w:r w:rsidRPr="00E37C69">
        <w:t>support available to them and the complaints and appeals procedures</w:t>
      </w:r>
    </w:p>
    <w:p w:rsidR="00E37C69" w:rsidRPr="00E37C69" w:rsidRDefault="00E37C69" w:rsidP="00813098">
      <w:pPr>
        <w:pStyle w:val="ListParagraph"/>
        <w:numPr>
          <w:ilvl w:val="0"/>
          <w:numId w:val="6"/>
        </w:numPr>
      </w:pPr>
      <w:r w:rsidRPr="00E37C69">
        <w:t>agree fair, safe, valid and reliable assessment methods</w:t>
      </w:r>
    </w:p>
    <w:p w:rsidR="00E37C69" w:rsidRPr="00E37C69" w:rsidRDefault="00E37C69" w:rsidP="00813098">
      <w:pPr>
        <w:pStyle w:val="ListParagraph"/>
        <w:numPr>
          <w:ilvl w:val="0"/>
          <w:numId w:val="6"/>
        </w:numPr>
      </w:pPr>
      <w:r w:rsidRPr="00E37C69">
        <w:t>identify appropriate and cost-effective opportunities for assessing</w:t>
      </w:r>
      <w:r w:rsidR="00813098">
        <w:t xml:space="preserve"> </w:t>
      </w:r>
      <w:r w:rsidRPr="00E37C69">
        <w:t>performance</w:t>
      </w:r>
    </w:p>
    <w:p w:rsidR="00E37C69" w:rsidRPr="00E37C69" w:rsidRDefault="00E37C69" w:rsidP="00813098">
      <w:pPr>
        <w:pStyle w:val="ListParagraph"/>
        <w:numPr>
          <w:ilvl w:val="0"/>
          <w:numId w:val="6"/>
        </w:numPr>
      </w:pPr>
      <w:r w:rsidRPr="00E37C69">
        <w:t>identify how past experience and achievements of learners will contribute to</w:t>
      </w:r>
      <w:r w:rsidR="00813098">
        <w:t xml:space="preserve"> </w:t>
      </w:r>
      <w:r w:rsidRPr="00E37C69">
        <w:t>the assessment process</w:t>
      </w:r>
    </w:p>
    <w:p w:rsidR="00E37C69" w:rsidRPr="00E37C69" w:rsidRDefault="00E37C69" w:rsidP="00813098">
      <w:pPr>
        <w:pStyle w:val="ListParagraph"/>
        <w:numPr>
          <w:ilvl w:val="0"/>
          <w:numId w:val="6"/>
        </w:numPr>
      </w:pPr>
      <w:r w:rsidRPr="00E37C69">
        <w:t>identify how to protect confidentiality and agree arrangements to deal with</w:t>
      </w:r>
      <w:r w:rsidR="00813098">
        <w:t xml:space="preserve"> </w:t>
      </w:r>
      <w:r w:rsidRPr="00E37C69">
        <w:t>sensitive issues</w:t>
      </w:r>
    </w:p>
    <w:p w:rsidR="00E37C69" w:rsidRPr="00E37C69" w:rsidRDefault="00E37C69" w:rsidP="00813098">
      <w:pPr>
        <w:pStyle w:val="ListParagraph"/>
        <w:numPr>
          <w:ilvl w:val="0"/>
          <w:numId w:val="6"/>
        </w:numPr>
      </w:pPr>
      <w:r w:rsidRPr="00E37C69">
        <w:t>ensure that learners’ progress is reviewed and that records of achievement</w:t>
      </w:r>
      <w:r w:rsidR="00813098">
        <w:t xml:space="preserve"> </w:t>
      </w:r>
      <w:r w:rsidRPr="00E37C69">
        <w:t>are regularly updated</w:t>
      </w:r>
    </w:p>
    <w:p w:rsidR="00E37C69" w:rsidRPr="00E37C69" w:rsidRDefault="00E37C69" w:rsidP="00813098">
      <w:pPr>
        <w:pStyle w:val="ListParagraph"/>
        <w:numPr>
          <w:ilvl w:val="0"/>
          <w:numId w:val="6"/>
        </w:numPr>
      </w:pPr>
      <w:r w:rsidRPr="00E37C69">
        <w:t>be aware of ways of handling difficulties or disputes in the assessment process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1.3 Judging evidence against criteria to make assessment decisions</w:t>
      </w:r>
    </w:p>
    <w:p w:rsidR="00E37C69" w:rsidRPr="00E37C69" w:rsidRDefault="00E37C69" w:rsidP="00E37C69">
      <w:r w:rsidRPr="00E37C69">
        <w:t>The assessor should:</w:t>
      </w:r>
    </w:p>
    <w:p w:rsidR="00E37C69" w:rsidRPr="00E37C69" w:rsidRDefault="00E37C69" w:rsidP="00813098">
      <w:pPr>
        <w:pStyle w:val="ListParagraph"/>
        <w:numPr>
          <w:ilvl w:val="0"/>
          <w:numId w:val="7"/>
        </w:numPr>
      </w:pPr>
      <w:r w:rsidRPr="00E37C69">
        <w:t>ensure that the work being assessed is the learner’s own work</w:t>
      </w:r>
    </w:p>
    <w:p w:rsidR="00E37C69" w:rsidRPr="00E37C69" w:rsidRDefault="00E37C69" w:rsidP="00813098">
      <w:pPr>
        <w:pStyle w:val="ListParagraph"/>
        <w:numPr>
          <w:ilvl w:val="0"/>
          <w:numId w:val="7"/>
        </w:numPr>
      </w:pPr>
      <w:r w:rsidRPr="00E37C69">
        <w:t>make fair, safe, valid and reliable assessment decisions based on the agreed</w:t>
      </w:r>
      <w:r w:rsidR="00813098">
        <w:t xml:space="preserve"> </w:t>
      </w:r>
      <w:r w:rsidRPr="00E37C69">
        <w:t>standards</w:t>
      </w:r>
    </w:p>
    <w:p w:rsidR="00E37C69" w:rsidRPr="00E37C69" w:rsidRDefault="00E37C69" w:rsidP="00813098">
      <w:pPr>
        <w:pStyle w:val="ListParagraph"/>
        <w:numPr>
          <w:ilvl w:val="0"/>
          <w:numId w:val="7"/>
        </w:numPr>
      </w:pPr>
      <w:r w:rsidRPr="00E37C69">
        <w:t>apply any agreed special arrangements to make sure the assessment is fair</w:t>
      </w:r>
    </w:p>
    <w:p w:rsidR="00E37C69" w:rsidRPr="00E37C69" w:rsidRDefault="00E37C69" w:rsidP="00813098">
      <w:pPr>
        <w:pStyle w:val="ListParagraph"/>
        <w:numPr>
          <w:ilvl w:val="0"/>
          <w:numId w:val="7"/>
        </w:numPr>
      </w:pPr>
      <w:r w:rsidRPr="00E37C69">
        <w:t>make a record of the outcomes of assessments by using an agreed recording</w:t>
      </w:r>
      <w:r w:rsidR="00813098">
        <w:t xml:space="preserve"> </w:t>
      </w:r>
      <w:r w:rsidRPr="00E37C69">
        <w:t>system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1.4 Providing feedback and support to candidates on assessment decisions</w:t>
      </w:r>
    </w:p>
    <w:p w:rsidR="00E37C69" w:rsidRPr="00E37C69" w:rsidRDefault="00E37C69" w:rsidP="00E37C69">
      <w:r w:rsidRPr="00E37C69">
        <w:t>The assessor should:</w:t>
      </w:r>
    </w:p>
    <w:p w:rsidR="00E37C69" w:rsidRPr="00E37C69" w:rsidRDefault="00E37C69" w:rsidP="00813098">
      <w:pPr>
        <w:pStyle w:val="ListParagraph"/>
        <w:numPr>
          <w:ilvl w:val="0"/>
          <w:numId w:val="8"/>
        </w:numPr>
      </w:pPr>
      <w:r w:rsidRPr="00E37C69">
        <w:t>give learners feedback at an appropriate time and place</w:t>
      </w:r>
    </w:p>
    <w:p w:rsidR="00E37C69" w:rsidRPr="00E37C69" w:rsidRDefault="00E37C69" w:rsidP="00813098">
      <w:pPr>
        <w:pStyle w:val="ListParagraph"/>
        <w:numPr>
          <w:ilvl w:val="0"/>
          <w:numId w:val="8"/>
        </w:numPr>
      </w:pPr>
      <w:r w:rsidRPr="00E37C69">
        <w:t>give learners feedback in a constructive and encouraging way, which meets</w:t>
      </w:r>
      <w:r w:rsidR="00813098">
        <w:t xml:space="preserve"> </w:t>
      </w:r>
      <w:r w:rsidRPr="00E37C69">
        <w:t>their needs and is appropriate to their level of confidence</w:t>
      </w:r>
    </w:p>
    <w:p w:rsidR="00E37C69" w:rsidRPr="00E37C69" w:rsidRDefault="00E37C69" w:rsidP="00813098">
      <w:pPr>
        <w:pStyle w:val="ListParagraph"/>
        <w:numPr>
          <w:ilvl w:val="0"/>
          <w:numId w:val="8"/>
        </w:numPr>
      </w:pPr>
      <w:r w:rsidRPr="00E37C69">
        <w:t>clearly explain assessment decisions</w:t>
      </w:r>
    </w:p>
    <w:p w:rsidR="00E37C69" w:rsidRPr="00E37C69" w:rsidRDefault="00E37C69" w:rsidP="00813098">
      <w:pPr>
        <w:pStyle w:val="ListParagraph"/>
        <w:numPr>
          <w:ilvl w:val="0"/>
          <w:numId w:val="8"/>
        </w:numPr>
      </w:pPr>
      <w:r w:rsidRPr="00E37C69">
        <w:t>provide advice and encouragement to learners where it is necessary for them</w:t>
      </w:r>
      <w:r w:rsidR="00813098">
        <w:t xml:space="preserve"> </w:t>
      </w:r>
      <w:r w:rsidRPr="00E37C69">
        <w:t>to re-submit work or to provide more evidence</w:t>
      </w:r>
    </w:p>
    <w:p w:rsidR="00E37C69" w:rsidRPr="00E37C69" w:rsidRDefault="00E37C69" w:rsidP="00813098">
      <w:pPr>
        <w:pStyle w:val="ListParagraph"/>
        <w:numPr>
          <w:ilvl w:val="0"/>
          <w:numId w:val="8"/>
        </w:numPr>
      </w:pPr>
      <w:r w:rsidRPr="00E37C69">
        <w:t>follow the agreed complaints and appeals procedures if candidates disagree</w:t>
      </w:r>
      <w:r w:rsidR="00813098">
        <w:t xml:space="preserve"> </w:t>
      </w:r>
      <w:r w:rsidRPr="00E37C69">
        <w:t>with the assessment decision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1.5 Contributing to the internal quality improvement process</w:t>
      </w:r>
    </w:p>
    <w:p w:rsidR="00E37C69" w:rsidRPr="00E37C69" w:rsidRDefault="00E37C69" w:rsidP="00E37C69">
      <w:r w:rsidRPr="00E37C69">
        <w:t>The assessor should:</w:t>
      </w:r>
    </w:p>
    <w:p w:rsidR="00E37C69" w:rsidRPr="00E37C69" w:rsidRDefault="00E37C69" w:rsidP="00FE050E">
      <w:pPr>
        <w:pStyle w:val="ListParagraph"/>
        <w:numPr>
          <w:ilvl w:val="0"/>
          <w:numId w:val="9"/>
        </w:numPr>
      </w:pPr>
      <w:r w:rsidRPr="00E37C69">
        <w:t>ensure assessment records are accurate and up-to-date</w:t>
      </w:r>
    </w:p>
    <w:p w:rsidR="00E37C69" w:rsidRPr="00E37C69" w:rsidRDefault="00E37C69" w:rsidP="00FE050E">
      <w:pPr>
        <w:pStyle w:val="ListParagraph"/>
        <w:numPr>
          <w:ilvl w:val="0"/>
          <w:numId w:val="9"/>
        </w:numPr>
      </w:pPr>
      <w:r w:rsidRPr="00E37C69">
        <w:t>contribute to standardisation arrangements so that assessment decisions are</w:t>
      </w:r>
      <w:r w:rsidR="00813098">
        <w:t xml:space="preserve"> </w:t>
      </w:r>
      <w:r w:rsidRPr="00E37C69">
        <w:t>in line with others</w:t>
      </w:r>
    </w:p>
    <w:p w:rsidR="00E37C69" w:rsidRPr="00E37C69" w:rsidRDefault="00E37C69" w:rsidP="00FE050E">
      <w:pPr>
        <w:pStyle w:val="ListParagraph"/>
        <w:numPr>
          <w:ilvl w:val="0"/>
          <w:numId w:val="9"/>
        </w:numPr>
      </w:pPr>
      <w:r w:rsidRPr="00E37C69">
        <w:lastRenderedPageBreak/>
        <w:t>contribute to the agreed quality improvement process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1.6 Recording assessment activity</w:t>
      </w:r>
    </w:p>
    <w:p w:rsidR="00E37C69" w:rsidRDefault="00E37C69" w:rsidP="00E37C69">
      <w:r w:rsidRPr="00E37C69">
        <w:t>Assessment decisions should be recorded using current documentation available</w:t>
      </w:r>
      <w:r w:rsidR="00FE050E">
        <w:t xml:space="preserve"> </w:t>
      </w:r>
      <w:r w:rsidRPr="00E37C69">
        <w:t xml:space="preserve">from the </w:t>
      </w:r>
      <w:r w:rsidR="00AB147C">
        <w:t>appropriate awarding bodies</w:t>
      </w:r>
      <w:r w:rsidRPr="00E37C69">
        <w:t>. Assessment records should be available to</w:t>
      </w:r>
      <w:r w:rsidR="00FE050E">
        <w:t xml:space="preserve"> </w:t>
      </w:r>
      <w:r w:rsidRPr="00E37C69">
        <w:t xml:space="preserve">the internal verifier, centre staff and </w:t>
      </w:r>
      <w:r w:rsidR="00AB147C">
        <w:t>relevant awarding bodies</w:t>
      </w:r>
      <w:r w:rsidRPr="00E37C69">
        <w:t xml:space="preserve"> as appropriate.</w:t>
      </w:r>
    </w:p>
    <w:p w:rsidR="00E37C69" w:rsidRPr="00D274A4" w:rsidRDefault="00E37C69" w:rsidP="00E37C69">
      <w:pPr>
        <w:rPr>
          <w:b/>
          <w:bCs/>
          <w:sz w:val="28"/>
        </w:rPr>
      </w:pPr>
      <w:proofErr w:type="gramStart"/>
      <w:r w:rsidRPr="00D274A4">
        <w:rPr>
          <w:b/>
          <w:bCs/>
          <w:sz w:val="28"/>
        </w:rPr>
        <w:t>2 Internal Verification</w:t>
      </w:r>
      <w:proofErr w:type="gramEnd"/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Introduction</w:t>
      </w:r>
    </w:p>
    <w:p w:rsidR="00E37C69" w:rsidRPr="00E37C69" w:rsidRDefault="00E37C69" w:rsidP="00E37C69">
      <w:r w:rsidRPr="00E37C69">
        <w:t>The internal verification process establishes and maintains the quality of assessment for</w:t>
      </w:r>
      <w:r w:rsidR="00FE050E">
        <w:t xml:space="preserve"> </w:t>
      </w:r>
      <w:r w:rsidRPr="00E37C69">
        <w:t>internally assessed, externally accredited learning programmes. The process provides the</w:t>
      </w:r>
      <w:r w:rsidR="00FE050E">
        <w:t xml:space="preserve"> </w:t>
      </w:r>
      <w:r w:rsidRPr="00E37C69">
        <w:t>link between internal assessment and external verification systems and plays a key role in the</w:t>
      </w:r>
      <w:r w:rsidR="00FE050E">
        <w:t xml:space="preserve"> </w:t>
      </w:r>
      <w:r w:rsidRPr="00E37C69">
        <w:t>Quality Improvement process. (Appendix 1 provides an overview of the verification</w:t>
      </w:r>
      <w:r w:rsidR="00FE050E">
        <w:t xml:space="preserve"> </w:t>
      </w:r>
      <w:r w:rsidRPr="00E37C69">
        <w:t>process.)</w:t>
      </w:r>
    </w:p>
    <w:p w:rsidR="00E37C69" w:rsidRPr="00E37C69" w:rsidRDefault="00E37C69" w:rsidP="00E37C69">
      <w:r w:rsidRPr="00E37C69">
        <w:t>Internal verification ensures that learners receive fair and equal access to assessment, which</w:t>
      </w:r>
      <w:r w:rsidR="00FE050E">
        <w:t xml:space="preserve"> </w:t>
      </w:r>
      <w:r w:rsidRPr="00E37C69">
        <w:t>is free from discrimination and is made by well-informed and well-supported assessors. It</w:t>
      </w:r>
      <w:r w:rsidR="00FE050E">
        <w:t xml:space="preserve"> </w:t>
      </w:r>
      <w:r w:rsidRPr="00E37C69">
        <w:t>also ensures that the standard of assessment remains consistent across time and candidates</w:t>
      </w:r>
      <w:r w:rsidR="00FE050E">
        <w:t xml:space="preserve"> </w:t>
      </w:r>
      <w:r w:rsidRPr="00E37C69">
        <w:t>with respect to individual assessors, and that there is consistency and standardisation</w:t>
      </w:r>
      <w:r w:rsidR="00FE050E">
        <w:t xml:space="preserve"> </w:t>
      </w:r>
      <w:r w:rsidRPr="00E37C69">
        <w:t xml:space="preserve">between assessors. This form </w:t>
      </w:r>
      <w:r w:rsidR="00325E7B" w:rsidRPr="00E37C69">
        <w:t xml:space="preserve">of </w:t>
      </w:r>
      <w:r w:rsidR="00325E7B">
        <w:t>standardisation</w:t>
      </w:r>
      <w:r w:rsidRPr="00E37C69">
        <w:t xml:space="preserve"> is vital in the maintenance of a national</w:t>
      </w:r>
      <w:r w:rsidR="00FE050E">
        <w:t xml:space="preserve"> </w:t>
      </w:r>
      <w:r w:rsidRPr="00E37C69">
        <w:t>standard of assessment.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2.1 Role and responsibilities of internal verifier</w:t>
      </w:r>
    </w:p>
    <w:p w:rsidR="00E37C69" w:rsidRPr="00E37C69" w:rsidRDefault="00E37C69" w:rsidP="00E37C69">
      <w:r w:rsidRPr="00E37C69">
        <w:t>The internal verifier must:</w:t>
      </w:r>
    </w:p>
    <w:p w:rsidR="00E37C69" w:rsidRPr="00E37C69" w:rsidRDefault="00E37C69" w:rsidP="00FE050E">
      <w:pPr>
        <w:pStyle w:val="ListParagraph"/>
        <w:numPr>
          <w:ilvl w:val="0"/>
          <w:numId w:val="10"/>
        </w:numPr>
      </w:pPr>
      <w:r w:rsidRPr="00E37C69">
        <w:t>understand the process of assessment and verification within the context of</w:t>
      </w:r>
      <w:r w:rsidR="00FE050E">
        <w:t xml:space="preserve"> </w:t>
      </w:r>
      <w:r w:rsidRPr="00E37C69">
        <w:t>quality improvement</w:t>
      </w:r>
    </w:p>
    <w:p w:rsidR="00E37C69" w:rsidRPr="00E37C69" w:rsidRDefault="00E37C69" w:rsidP="00FE050E">
      <w:pPr>
        <w:pStyle w:val="ListParagraph"/>
        <w:numPr>
          <w:ilvl w:val="0"/>
          <w:numId w:val="10"/>
        </w:numPr>
      </w:pPr>
      <w:r w:rsidRPr="00E37C69">
        <w:t>have a relevant occupational background which can be related to the</w:t>
      </w:r>
      <w:r w:rsidR="00FE050E">
        <w:t xml:space="preserve"> </w:t>
      </w:r>
      <w:r w:rsidRPr="00E37C69">
        <w:t>vocational area to be verified</w:t>
      </w:r>
    </w:p>
    <w:p w:rsidR="00E37C69" w:rsidRPr="00E37C69" w:rsidRDefault="00E37C69" w:rsidP="00FE050E">
      <w:pPr>
        <w:pStyle w:val="ListParagraph"/>
        <w:numPr>
          <w:ilvl w:val="0"/>
          <w:numId w:val="10"/>
        </w:numPr>
      </w:pPr>
      <w:r w:rsidRPr="00E37C69">
        <w:t>for NVQ qualifications, have gained the Level 4 Award in the Internal</w:t>
      </w:r>
      <w:r w:rsidR="00FE050E">
        <w:t xml:space="preserve"> </w:t>
      </w:r>
      <w:r w:rsidRPr="00E37C69">
        <w:t>Quality Assurance of Assessment Processes and Practice</w:t>
      </w:r>
    </w:p>
    <w:p w:rsidR="00E37C69" w:rsidRPr="00E37C69" w:rsidRDefault="00E37C69" w:rsidP="00FE050E">
      <w:pPr>
        <w:pStyle w:val="ListParagraph"/>
        <w:numPr>
          <w:ilvl w:val="0"/>
          <w:numId w:val="10"/>
        </w:numPr>
      </w:pPr>
      <w:r w:rsidRPr="00E37C69">
        <w:t>ensure health, safety and environmental protection procedures are applied</w:t>
      </w:r>
      <w:r w:rsidR="00FE050E">
        <w:t xml:space="preserve"> </w:t>
      </w:r>
      <w:r w:rsidRPr="00E37C69">
        <w:t>within assessment arrangements</w:t>
      </w:r>
    </w:p>
    <w:p w:rsidR="00E37C69" w:rsidRPr="00E37C69" w:rsidRDefault="00E37C69" w:rsidP="00FE050E">
      <w:pPr>
        <w:pStyle w:val="ListParagraph"/>
        <w:numPr>
          <w:ilvl w:val="0"/>
          <w:numId w:val="10"/>
        </w:numPr>
      </w:pPr>
      <w:r w:rsidRPr="00E37C69">
        <w:t>apply and monitor equal opportunities and access procedures throughout all</w:t>
      </w:r>
      <w:r w:rsidR="00FE050E">
        <w:t xml:space="preserve"> </w:t>
      </w:r>
      <w:r w:rsidRPr="00E37C69">
        <w:t>assessment procedures</w:t>
      </w:r>
    </w:p>
    <w:p w:rsidR="00E37C69" w:rsidRPr="00E37C69" w:rsidRDefault="00E37C69" w:rsidP="00FE050E">
      <w:pPr>
        <w:pStyle w:val="ListParagraph"/>
        <w:numPr>
          <w:ilvl w:val="0"/>
          <w:numId w:val="10"/>
        </w:numPr>
      </w:pPr>
      <w:r w:rsidRPr="00E37C69">
        <w:t>have a clear understanding of the standards to which the candidate is being</w:t>
      </w:r>
      <w:r w:rsidR="00FE050E">
        <w:t xml:space="preserve"> </w:t>
      </w:r>
      <w:r w:rsidRPr="00E37C69">
        <w:t>assessed and ensure that any queries relating to the interpretation of the</w:t>
      </w:r>
      <w:r w:rsidR="00FE050E">
        <w:t xml:space="preserve"> </w:t>
      </w:r>
      <w:r w:rsidRPr="00E37C69">
        <w:t>standards are brought to the attention of the external verifier</w:t>
      </w:r>
    </w:p>
    <w:p w:rsidR="00E37C69" w:rsidRPr="00E37C69" w:rsidRDefault="00E37C69" w:rsidP="00FE050E">
      <w:pPr>
        <w:pStyle w:val="ListParagraph"/>
        <w:numPr>
          <w:ilvl w:val="0"/>
          <w:numId w:val="10"/>
        </w:numPr>
      </w:pPr>
      <w:r w:rsidRPr="00E37C69">
        <w:t>work with others to ensure the standardisation of assessment practice and</w:t>
      </w:r>
      <w:r w:rsidR="00FE050E">
        <w:t xml:space="preserve"> </w:t>
      </w:r>
      <w:r w:rsidRPr="00E37C69">
        <w:t>outcomes</w:t>
      </w:r>
    </w:p>
    <w:p w:rsidR="00E37C69" w:rsidRPr="00E37C69" w:rsidRDefault="00E37C69" w:rsidP="00FE050E">
      <w:pPr>
        <w:pStyle w:val="ListParagraph"/>
        <w:numPr>
          <w:ilvl w:val="0"/>
          <w:numId w:val="10"/>
        </w:numPr>
      </w:pPr>
      <w:r w:rsidRPr="00E37C69">
        <w:t>follow agreed procedures for the recording, storing, reporting and</w:t>
      </w:r>
      <w:r w:rsidR="00FE050E">
        <w:t xml:space="preserve"> </w:t>
      </w:r>
      <w:r w:rsidRPr="00E37C69">
        <w:t>confidentiality of information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Responsibilities</w:t>
      </w:r>
    </w:p>
    <w:p w:rsidR="00E37C69" w:rsidRPr="00E37C69" w:rsidRDefault="00E37C69" w:rsidP="00E37C69">
      <w:r w:rsidRPr="00E37C69">
        <w:t>The internal verifier has responsibility for the following:</w:t>
      </w:r>
    </w:p>
    <w:p w:rsidR="00E37C69" w:rsidRPr="00E37C69" w:rsidRDefault="00E37C69" w:rsidP="00FE050E">
      <w:pPr>
        <w:pStyle w:val="ListParagraph"/>
        <w:numPr>
          <w:ilvl w:val="0"/>
          <w:numId w:val="11"/>
        </w:numPr>
      </w:pPr>
      <w:r w:rsidRPr="00E37C69">
        <w:lastRenderedPageBreak/>
        <w:t>carrying out and evaluating internal assessment and quality improvement</w:t>
      </w:r>
      <w:r w:rsidR="00FE050E">
        <w:t xml:space="preserve"> </w:t>
      </w:r>
      <w:r w:rsidRPr="00E37C69">
        <w:t>systems</w:t>
      </w:r>
    </w:p>
    <w:p w:rsidR="00E37C69" w:rsidRPr="00E37C69" w:rsidRDefault="00E37C69" w:rsidP="00FE050E">
      <w:pPr>
        <w:pStyle w:val="ListParagraph"/>
        <w:numPr>
          <w:ilvl w:val="0"/>
          <w:numId w:val="11"/>
        </w:numPr>
      </w:pPr>
      <w:r w:rsidRPr="00E37C69">
        <w:t>supporting assessors</w:t>
      </w:r>
    </w:p>
    <w:p w:rsidR="00E37C69" w:rsidRPr="00E37C69" w:rsidRDefault="00E37C69" w:rsidP="00FE050E">
      <w:pPr>
        <w:pStyle w:val="ListParagraph"/>
        <w:numPr>
          <w:ilvl w:val="0"/>
          <w:numId w:val="11"/>
        </w:numPr>
      </w:pPr>
      <w:r w:rsidRPr="00E37C69">
        <w:t>monitoring the quality of assessors’ performance</w:t>
      </w:r>
    </w:p>
    <w:p w:rsidR="00E37C69" w:rsidRPr="00E37C69" w:rsidRDefault="00E37C69" w:rsidP="00FE050E">
      <w:pPr>
        <w:pStyle w:val="ListParagraph"/>
        <w:numPr>
          <w:ilvl w:val="0"/>
          <w:numId w:val="11"/>
        </w:numPr>
      </w:pPr>
      <w:r w:rsidRPr="00E37C69">
        <w:t>meeting external quality improvement requirements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Moderator</w:t>
      </w:r>
    </w:p>
    <w:p w:rsidR="00E37C69" w:rsidRPr="00E37C69" w:rsidRDefault="00E37C69" w:rsidP="00E37C69">
      <w:r w:rsidRPr="00E37C69">
        <w:t>The role of Moderator has been developed to</w:t>
      </w:r>
      <w:r w:rsidR="00FE050E">
        <w:t xml:space="preserve"> </w:t>
      </w:r>
      <w:r w:rsidRPr="00E37C69">
        <w:t>provide a central focus for quality assurance of accredited provision. Where</w:t>
      </w:r>
      <w:r w:rsidR="00FE050E">
        <w:t xml:space="preserve"> </w:t>
      </w:r>
      <w:r w:rsidRPr="00E37C69">
        <w:t>a programme has more than one internal verifier, the Moderator will ensure</w:t>
      </w:r>
      <w:r w:rsidR="00FE050E">
        <w:t xml:space="preserve"> </w:t>
      </w:r>
      <w:r w:rsidRPr="00E37C69">
        <w:t>consistency and will take responsibility for co-ordinating the activities of the</w:t>
      </w:r>
      <w:r w:rsidR="00FE050E">
        <w:t xml:space="preserve"> </w:t>
      </w:r>
      <w:r w:rsidRPr="00E37C69">
        <w:t>internal verifiers on the programme.</w:t>
      </w:r>
    </w:p>
    <w:p w:rsidR="00E37C69" w:rsidRPr="00E37C69" w:rsidRDefault="00E37C69" w:rsidP="00E37C69">
      <w:r w:rsidRPr="00E37C69">
        <w:t>The Moderator will monitor quality of the provision, liaise with the external</w:t>
      </w:r>
      <w:r w:rsidR="00FE050E">
        <w:t xml:space="preserve"> </w:t>
      </w:r>
      <w:r w:rsidRPr="00E37C69">
        <w:t>verifier and the delivery team on all</w:t>
      </w:r>
      <w:r w:rsidR="00FE050E">
        <w:t xml:space="preserve"> </w:t>
      </w:r>
      <w:r w:rsidRPr="00E37C69">
        <w:t>aspects of quality.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2.2 Carrying out and evaluating internal assessment and quality</w:t>
      </w:r>
      <w:r w:rsidR="00FE050E">
        <w:rPr>
          <w:b/>
          <w:bCs/>
        </w:rPr>
        <w:t xml:space="preserve"> </w:t>
      </w:r>
      <w:r w:rsidRPr="00E37C69">
        <w:rPr>
          <w:b/>
          <w:bCs/>
        </w:rPr>
        <w:t>improvement systems</w:t>
      </w:r>
    </w:p>
    <w:p w:rsidR="00E37C69" w:rsidRPr="00E37C69" w:rsidRDefault="00E37C69" w:rsidP="00E37C69">
      <w:r w:rsidRPr="00E37C69">
        <w:t>The internal verifier must ensure that:</w:t>
      </w:r>
    </w:p>
    <w:p w:rsidR="00AB147C" w:rsidRDefault="00E37C69" w:rsidP="00FE050E">
      <w:pPr>
        <w:pStyle w:val="ListParagraph"/>
        <w:numPr>
          <w:ilvl w:val="0"/>
          <w:numId w:val="12"/>
        </w:numPr>
      </w:pPr>
      <w:r w:rsidRPr="00E37C69">
        <w:t>arrangements for carrying out internal verification meet the</w:t>
      </w:r>
      <w:r w:rsidR="00FE050E">
        <w:t xml:space="preserve"> </w:t>
      </w:r>
      <w:r w:rsidR="00AB147C">
        <w:t>appropriate awarding body requirements</w:t>
      </w:r>
    </w:p>
    <w:p w:rsidR="00E37C69" w:rsidRPr="00E37C69" w:rsidRDefault="00E37C69" w:rsidP="00FE050E">
      <w:pPr>
        <w:pStyle w:val="ListParagraph"/>
        <w:numPr>
          <w:ilvl w:val="0"/>
          <w:numId w:val="12"/>
        </w:numPr>
      </w:pPr>
      <w:r w:rsidRPr="00E37C69">
        <w:t>administrative and recording arrangements meet external audit</w:t>
      </w:r>
      <w:r w:rsidR="00FE050E">
        <w:t xml:space="preserve"> </w:t>
      </w:r>
      <w:r w:rsidRPr="00E37C69">
        <w:t>requirements</w:t>
      </w:r>
    </w:p>
    <w:p w:rsidR="00E37C69" w:rsidRPr="00E37C69" w:rsidRDefault="00E37C69" w:rsidP="00FE050E">
      <w:pPr>
        <w:pStyle w:val="ListParagraph"/>
        <w:numPr>
          <w:ilvl w:val="0"/>
          <w:numId w:val="12"/>
        </w:numPr>
      </w:pPr>
      <w:r w:rsidRPr="00E37C69">
        <w:t>the eligibility of assessors to undertake assessment is checked against</w:t>
      </w:r>
      <w:r w:rsidR="00FE050E">
        <w:t xml:space="preserve"> </w:t>
      </w:r>
      <w:r w:rsidRPr="00E37C69">
        <w:t xml:space="preserve">awarding body </w:t>
      </w:r>
      <w:r w:rsidR="00FE050E">
        <w:t xml:space="preserve"> r</w:t>
      </w:r>
      <w:r w:rsidRPr="00E37C69">
        <w:t>equirements</w:t>
      </w:r>
    </w:p>
    <w:p w:rsidR="00E37C69" w:rsidRPr="00E37C69" w:rsidRDefault="00E37C69" w:rsidP="00FE050E">
      <w:pPr>
        <w:pStyle w:val="ListParagraph"/>
        <w:numPr>
          <w:ilvl w:val="0"/>
          <w:numId w:val="12"/>
        </w:numPr>
      </w:pPr>
      <w:r w:rsidRPr="00E37C69">
        <w:t>appropriate support for assessors is available</w:t>
      </w:r>
    </w:p>
    <w:p w:rsidR="00E37C69" w:rsidRPr="00E37C69" w:rsidRDefault="00E37C69" w:rsidP="00FE050E">
      <w:pPr>
        <w:pStyle w:val="ListParagraph"/>
        <w:numPr>
          <w:ilvl w:val="0"/>
          <w:numId w:val="12"/>
        </w:numPr>
      </w:pPr>
      <w:r w:rsidRPr="00E37C69">
        <w:t>standardisation of assessments is carried out</w:t>
      </w:r>
    </w:p>
    <w:p w:rsidR="00E37C69" w:rsidRPr="00E37C69" w:rsidRDefault="00E37C69" w:rsidP="00FE050E">
      <w:pPr>
        <w:pStyle w:val="ListParagraph"/>
        <w:numPr>
          <w:ilvl w:val="0"/>
          <w:numId w:val="12"/>
        </w:numPr>
      </w:pPr>
      <w:r w:rsidRPr="00E37C69">
        <w:t>a procedure for complaints and appeals, which meets the</w:t>
      </w:r>
      <w:r w:rsidR="00FE050E">
        <w:t xml:space="preserve"> </w:t>
      </w:r>
      <w:r w:rsidRPr="00E37C69">
        <w:t>requirements of awarding bodies, is in place and is followed when</w:t>
      </w:r>
      <w:r w:rsidR="00FE050E">
        <w:t xml:space="preserve"> </w:t>
      </w:r>
      <w:r w:rsidRPr="00E37C69">
        <w:t>necessary (The Appeals Procedure is outlined in section 3 below and</w:t>
      </w:r>
      <w:r w:rsidR="00FE050E">
        <w:t xml:space="preserve"> </w:t>
      </w:r>
      <w:r w:rsidRPr="00E37C69">
        <w:t>a copy of the Candidate Appeal Report pro-forma is included at</w:t>
      </w:r>
      <w:r w:rsidR="00FE050E">
        <w:t xml:space="preserve"> </w:t>
      </w:r>
      <w:r w:rsidRPr="00E37C69">
        <w:t>Appendix 2)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2.3 Supporting assessors</w:t>
      </w:r>
    </w:p>
    <w:p w:rsidR="00E37C69" w:rsidRPr="00E37C69" w:rsidRDefault="00E37C69" w:rsidP="00E37C69">
      <w:r w:rsidRPr="00E37C69">
        <w:t>The internal verifier must ensure that:</w:t>
      </w:r>
    </w:p>
    <w:p w:rsidR="00E37C69" w:rsidRPr="00E37C69" w:rsidRDefault="00E37C69" w:rsidP="00FE050E">
      <w:pPr>
        <w:pStyle w:val="ListParagraph"/>
        <w:numPr>
          <w:ilvl w:val="0"/>
          <w:numId w:val="13"/>
        </w:numPr>
      </w:pPr>
      <w:r w:rsidRPr="00E37C69">
        <w:t>assessors have appropriate technical and vocational experience</w:t>
      </w:r>
    </w:p>
    <w:p w:rsidR="00E37C69" w:rsidRPr="00E37C69" w:rsidRDefault="00E37C69" w:rsidP="00FE050E">
      <w:pPr>
        <w:pStyle w:val="ListParagraph"/>
        <w:numPr>
          <w:ilvl w:val="0"/>
          <w:numId w:val="13"/>
        </w:numPr>
      </w:pPr>
      <w:r w:rsidRPr="00E37C69">
        <w:t>assessors are familiar with and can carry out specific assessments and</w:t>
      </w:r>
      <w:r w:rsidR="00FE050E">
        <w:t xml:space="preserve"> </w:t>
      </w:r>
      <w:r w:rsidRPr="00E37C69">
        <w:t>follow the recording and internal audit procedures</w:t>
      </w:r>
    </w:p>
    <w:p w:rsidR="00E37C69" w:rsidRPr="00E37C69" w:rsidRDefault="00E37C69" w:rsidP="00FE050E">
      <w:pPr>
        <w:pStyle w:val="ListParagraph"/>
        <w:numPr>
          <w:ilvl w:val="0"/>
          <w:numId w:val="13"/>
        </w:numPr>
      </w:pPr>
      <w:r w:rsidRPr="00E37C69">
        <w:t>the development needs of assessor</w:t>
      </w:r>
      <w:r w:rsidR="00FE050E">
        <w:t xml:space="preserve">s are identified in relation to </w:t>
      </w:r>
      <w:r w:rsidRPr="00E37C69">
        <w:t>principles of assessment; needs of candidates; their technical expertise</w:t>
      </w:r>
      <w:r w:rsidR="00FE050E">
        <w:t xml:space="preserve"> </w:t>
      </w:r>
      <w:r w:rsidRPr="00E37C69">
        <w:t>and competence</w:t>
      </w:r>
    </w:p>
    <w:p w:rsidR="00E37C69" w:rsidRPr="00E37C69" w:rsidRDefault="00E37C69" w:rsidP="00FE050E">
      <w:pPr>
        <w:pStyle w:val="ListParagraph"/>
        <w:numPr>
          <w:ilvl w:val="0"/>
          <w:numId w:val="13"/>
        </w:numPr>
      </w:pPr>
      <w:r w:rsidRPr="00E37C69">
        <w:t>assessors have the opportunity to develop their assessment</w:t>
      </w:r>
      <w:r w:rsidR="00FE050E">
        <w:t xml:space="preserve"> </w:t>
      </w:r>
      <w:r w:rsidRPr="00E37C69">
        <w:t>experience and competence and their progress is monitored</w:t>
      </w:r>
    </w:p>
    <w:p w:rsidR="00E37C69" w:rsidRPr="00E37C69" w:rsidRDefault="00E37C69" w:rsidP="00FE050E">
      <w:pPr>
        <w:pStyle w:val="ListParagraph"/>
        <w:numPr>
          <w:ilvl w:val="0"/>
          <w:numId w:val="13"/>
        </w:numPr>
      </w:pPr>
      <w:r w:rsidRPr="00E37C69">
        <w:t>assessors have regular opportunities to standardise assessment</w:t>
      </w:r>
      <w:r w:rsidR="00FE050E">
        <w:t xml:space="preserve"> </w:t>
      </w:r>
      <w:r w:rsidRPr="00E37C69">
        <w:t>decisions</w:t>
      </w:r>
    </w:p>
    <w:p w:rsidR="00E37C69" w:rsidRPr="00E37C69" w:rsidRDefault="00E37C69" w:rsidP="00FE050E">
      <w:pPr>
        <w:pStyle w:val="ListParagraph"/>
        <w:numPr>
          <w:ilvl w:val="0"/>
          <w:numId w:val="13"/>
        </w:numPr>
      </w:pPr>
      <w:r w:rsidRPr="00E37C69">
        <w:t>assessors are able to maintain quality standards.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2.4 Monitoring the quality of assessors’ performance</w:t>
      </w:r>
    </w:p>
    <w:p w:rsidR="00E37C69" w:rsidRPr="00E37C69" w:rsidRDefault="00E37C69" w:rsidP="00E37C69">
      <w:r w:rsidRPr="00E37C69">
        <w:t>The internal verifier must ensure that assessors:</w:t>
      </w:r>
    </w:p>
    <w:p w:rsidR="00E37C69" w:rsidRPr="00E37C69" w:rsidRDefault="00E37C69" w:rsidP="00FE050E">
      <w:pPr>
        <w:pStyle w:val="ListParagraph"/>
        <w:numPr>
          <w:ilvl w:val="0"/>
          <w:numId w:val="14"/>
        </w:numPr>
      </w:pPr>
      <w:r w:rsidRPr="00E37C69">
        <w:lastRenderedPageBreak/>
        <w:t>plan and prepare for assessment opportunities effectively</w:t>
      </w:r>
    </w:p>
    <w:p w:rsidR="00E37C69" w:rsidRPr="00E37C69" w:rsidRDefault="00E37C69" w:rsidP="00FE050E">
      <w:pPr>
        <w:pStyle w:val="ListParagraph"/>
        <w:numPr>
          <w:ilvl w:val="0"/>
          <w:numId w:val="14"/>
        </w:numPr>
      </w:pPr>
      <w:r w:rsidRPr="00E37C69">
        <w:t>have effective processes for making assessment decisions</w:t>
      </w:r>
    </w:p>
    <w:p w:rsidR="00E37C69" w:rsidRPr="00E37C69" w:rsidRDefault="00E37C69" w:rsidP="00FE050E">
      <w:pPr>
        <w:pStyle w:val="ListParagraph"/>
        <w:numPr>
          <w:ilvl w:val="0"/>
          <w:numId w:val="14"/>
        </w:numPr>
      </w:pPr>
      <w:r w:rsidRPr="00E37C69">
        <w:t>apply safe, fair, valid and reliable methods of assessing candidates’</w:t>
      </w:r>
      <w:r w:rsidR="00FE050E">
        <w:t xml:space="preserve"> </w:t>
      </w:r>
      <w:r w:rsidRPr="00E37C69">
        <w:t>competence</w:t>
      </w:r>
    </w:p>
    <w:p w:rsidR="00E37C69" w:rsidRPr="00E37C69" w:rsidRDefault="00E37C69" w:rsidP="00FE050E">
      <w:pPr>
        <w:pStyle w:val="ListParagraph"/>
        <w:numPr>
          <w:ilvl w:val="0"/>
          <w:numId w:val="14"/>
        </w:numPr>
      </w:pPr>
      <w:r w:rsidRPr="00E37C69">
        <w:t>set up and maintain effective working relationships with candidates at</w:t>
      </w:r>
      <w:r w:rsidR="00FE050E">
        <w:t xml:space="preserve"> </w:t>
      </w:r>
      <w:r w:rsidRPr="00E37C69">
        <w:t>all stages of the assessment process</w:t>
      </w:r>
    </w:p>
    <w:p w:rsidR="00E37C69" w:rsidRPr="00E37C69" w:rsidRDefault="00E37C69" w:rsidP="00FE050E">
      <w:pPr>
        <w:pStyle w:val="ListParagraph"/>
        <w:numPr>
          <w:ilvl w:val="0"/>
          <w:numId w:val="14"/>
        </w:numPr>
      </w:pPr>
      <w:r w:rsidRPr="00E37C69">
        <w:t>apply relevant health, safety and environmental protection</w:t>
      </w:r>
      <w:r w:rsidR="00FE050E">
        <w:t xml:space="preserve"> </w:t>
      </w:r>
      <w:r w:rsidRPr="00E37C69">
        <w:t>procedures,</w:t>
      </w:r>
    </w:p>
    <w:p w:rsidR="00E37C69" w:rsidRPr="00E37C69" w:rsidRDefault="00E37C69" w:rsidP="00FE050E">
      <w:pPr>
        <w:pStyle w:val="ListParagraph"/>
        <w:numPr>
          <w:ilvl w:val="0"/>
          <w:numId w:val="14"/>
        </w:numPr>
      </w:pPr>
      <w:r w:rsidRPr="00E37C69">
        <w:t>meet equality and access criteria</w:t>
      </w:r>
    </w:p>
    <w:p w:rsidR="00E37C69" w:rsidRPr="00E37C69" w:rsidRDefault="00E37C69" w:rsidP="00FE050E">
      <w:pPr>
        <w:pStyle w:val="ListParagraph"/>
        <w:numPr>
          <w:ilvl w:val="0"/>
          <w:numId w:val="14"/>
        </w:numPr>
      </w:pPr>
      <w:r w:rsidRPr="00E37C69">
        <w:t>give timely and effective feedback to candidates</w:t>
      </w:r>
    </w:p>
    <w:p w:rsidR="00E37C69" w:rsidRPr="00E37C69" w:rsidRDefault="00E37C69" w:rsidP="00FE050E">
      <w:pPr>
        <w:pStyle w:val="ListParagraph"/>
        <w:numPr>
          <w:ilvl w:val="0"/>
          <w:numId w:val="14"/>
        </w:numPr>
      </w:pPr>
      <w:r w:rsidRPr="00E37C69">
        <w:t>maintain accurate and secure records</w:t>
      </w:r>
    </w:p>
    <w:p w:rsidR="00E37C69" w:rsidRPr="00E37C69" w:rsidRDefault="00E37C69" w:rsidP="00FE050E">
      <w:pPr>
        <w:pStyle w:val="ListParagraph"/>
        <w:numPr>
          <w:ilvl w:val="0"/>
          <w:numId w:val="14"/>
        </w:numPr>
      </w:pPr>
      <w:r w:rsidRPr="00E37C69">
        <w:t>receive accurate and helpful feedback on their assessment decisions</w:t>
      </w:r>
      <w:r w:rsidR="00FE050E">
        <w:t xml:space="preserve"> </w:t>
      </w:r>
      <w:r w:rsidRPr="00E37C69">
        <w:t>from the internal verifier</w:t>
      </w:r>
    </w:p>
    <w:p w:rsidR="00E37C69" w:rsidRPr="00E37C69" w:rsidRDefault="00E37C69" w:rsidP="00E37C69">
      <w:r w:rsidRPr="00E37C69">
        <w:t>The internal verifier may carry out the following activities:</w:t>
      </w:r>
    </w:p>
    <w:p w:rsidR="00E37C69" w:rsidRPr="00E37C69" w:rsidRDefault="00E37C69" w:rsidP="00FE050E">
      <w:pPr>
        <w:pStyle w:val="ListParagraph"/>
        <w:numPr>
          <w:ilvl w:val="0"/>
          <w:numId w:val="15"/>
        </w:numPr>
      </w:pPr>
      <w:r w:rsidRPr="00E37C69">
        <w:t>sampling assessments</w:t>
      </w:r>
    </w:p>
    <w:p w:rsidR="00E37C69" w:rsidRPr="00E37C69" w:rsidRDefault="00E37C69" w:rsidP="00FE050E">
      <w:pPr>
        <w:pStyle w:val="ListParagraph"/>
        <w:numPr>
          <w:ilvl w:val="0"/>
          <w:numId w:val="15"/>
        </w:numPr>
      </w:pPr>
      <w:r w:rsidRPr="00E37C69">
        <w:t>observing assessors carrying out assessments</w:t>
      </w:r>
    </w:p>
    <w:p w:rsidR="00E37C69" w:rsidRPr="00E37C69" w:rsidRDefault="00E37C69" w:rsidP="00FE050E">
      <w:pPr>
        <w:pStyle w:val="ListParagraph"/>
        <w:numPr>
          <w:ilvl w:val="0"/>
          <w:numId w:val="15"/>
        </w:numPr>
      </w:pPr>
      <w:r w:rsidRPr="00E37C69">
        <w:t>standardising assessment tasks and assessment judgements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Sampling assessments</w:t>
      </w:r>
    </w:p>
    <w:p w:rsidR="00E37C69" w:rsidRPr="00E37C69" w:rsidRDefault="00E37C69" w:rsidP="00E37C69">
      <w:r w:rsidRPr="00E37C69">
        <w:t>The internal verifier must ensure that the sampling strategy:</w:t>
      </w:r>
    </w:p>
    <w:p w:rsidR="00E37C69" w:rsidRPr="00E37C69" w:rsidRDefault="00E37C69" w:rsidP="00FE050E">
      <w:pPr>
        <w:pStyle w:val="ListParagraph"/>
        <w:numPr>
          <w:ilvl w:val="0"/>
          <w:numId w:val="16"/>
        </w:numPr>
      </w:pPr>
      <w:r w:rsidRPr="00E37C69">
        <w:t>meets awarding body requirements</w:t>
      </w:r>
    </w:p>
    <w:p w:rsidR="00E37C69" w:rsidRPr="00E37C69" w:rsidRDefault="00E37C69" w:rsidP="00FE050E">
      <w:pPr>
        <w:pStyle w:val="ListParagraph"/>
        <w:numPr>
          <w:ilvl w:val="0"/>
          <w:numId w:val="16"/>
        </w:numPr>
      </w:pPr>
      <w:r w:rsidRPr="00E37C69">
        <w:t>covers all assessors, candidates, units, assessment methods and</w:t>
      </w:r>
      <w:r w:rsidR="00FE050E">
        <w:t xml:space="preserve"> </w:t>
      </w:r>
      <w:r w:rsidRPr="00E37C69">
        <w:t>locations for each programme</w:t>
      </w:r>
    </w:p>
    <w:p w:rsidR="00E37C69" w:rsidRPr="00E37C69" w:rsidRDefault="00E37C69" w:rsidP="00FE050E">
      <w:pPr>
        <w:pStyle w:val="ListParagraph"/>
        <w:numPr>
          <w:ilvl w:val="0"/>
          <w:numId w:val="16"/>
        </w:numPr>
      </w:pPr>
      <w:r w:rsidRPr="00E37C69">
        <w:t>is an on-going process</w:t>
      </w:r>
      <w:r w:rsidR="00FE050E">
        <w:t xml:space="preserve"> </w:t>
      </w:r>
    </w:p>
    <w:p w:rsidR="00E37C69" w:rsidRPr="00E37C69" w:rsidRDefault="00E37C69" w:rsidP="00FE050E">
      <w:pPr>
        <w:pStyle w:val="ListParagraph"/>
        <w:numPr>
          <w:ilvl w:val="0"/>
          <w:numId w:val="16"/>
        </w:numPr>
      </w:pPr>
      <w:r w:rsidRPr="00E37C69">
        <w:t>includes an increased ratio of assessment decisions made by new or</w:t>
      </w:r>
      <w:r w:rsidR="00FE050E">
        <w:t xml:space="preserve"> </w:t>
      </w:r>
      <w:r w:rsidRPr="00E37C69">
        <w:t>inexperienced assessors</w:t>
      </w:r>
    </w:p>
    <w:p w:rsidR="00E37C69" w:rsidRPr="00E37C69" w:rsidRDefault="00E37C69" w:rsidP="00FE050E">
      <w:pPr>
        <w:pStyle w:val="ListParagraph"/>
        <w:numPr>
          <w:ilvl w:val="0"/>
          <w:numId w:val="16"/>
        </w:numPr>
      </w:pPr>
      <w:r w:rsidRPr="00E37C69">
        <w:t>checks that evidence is valid, sufficient, authentic, current, reliable and</w:t>
      </w:r>
      <w:r w:rsidR="00FE050E">
        <w:t xml:space="preserve"> </w:t>
      </w:r>
      <w:r w:rsidRPr="00E37C69">
        <w:t>consistent</w:t>
      </w:r>
    </w:p>
    <w:p w:rsidR="00E37C69" w:rsidRPr="00E37C69" w:rsidRDefault="00E37C69" w:rsidP="00FE050E">
      <w:pPr>
        <w:pStyle w:val="ListParagraph"/>
        <w:numPr>
          <w:ilvl w:val="0"/>
          <w:numId w:val="16"/>
        </w:numPr>
      </w:pPr>
      <w:r w:rsidRPr="00E37C69">
        <w:t>ensures that internal verifiers do not verify evidence that they have</w:t>
      </w:r>
      <w:r w:rsidR="00FE050E">
        <w:t xml:space="preserve"> </w:t>
      </w:r>
      <w:r w:rsidRPr="00E37C69">
        <w:t>assessed.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Formative and summative sampling</w:t>
      </w:r>
    </w:p>
    <w:p w:rsidR="00E37C69" w:rsidRPr="00E37C69" w:rsidRDefault="00E37C69" w:rsidP="00E37C69">
      <w:r w:rsidRPr="00E37C69">
        <w:t>Sampling assessments should involve reviewing the quality of assessors’</w:t>
      </w:r>
      <w:r w:rsidR="00FE050E">
        <w:t xml:space="preserve"> </w:t>
      </w:r>
      <w:r w:rsidRPr="00E37C69">
        <w:t>judgements at both formative and summative stages.</w:t>
      </w:r>
    </w:p>
    <w:p w:rsidR="00E37C69" w:rsidRPr="0096762D" w:rsidRDefault="00E37C69" w:rsidP="00E37C69">
      <w:pPr>
        <w:rPr>
          <w:u w:val="single"/>
        </w:rPr>
      </w:pPr>
      <w:r w:rsidRPr="0096762D">
        <w:rPr>
          <w:u w:val="single"/>
        </w:rPr>
        <w:t>Formative sampling:</w:t>
      </w:r>
    </w:p>
    <w:p w:rsidR="00E37C69" w:rsidRPr="00E37C69" w:rsidRDefault="00E37C69" w:rsidP="00E37C69">
      <w:r w:rsidRPr="00E37C69">
        <w:t>It is important the internal verifier samples assessment activity at</w:t>
      </w:r>
      <w:r w:rsidR="00FE050E">
        <w:t xml:space="preserve"> </w:t>
      </w:r>
      <w:r w:rsidRPr="00E37C69">
        <w:t>different stages of the assessment process</w:t>
      </w:r>
    </w:p>
    <w:p w:rsidR="00E37C69" w:rsidRPr="0096762D" w:rsidRDefault="00E37C69" w:rsidP="00E37C69">
      <w:pPr>
        <w:rPr>
          <w:u w:val="single"/>
        </w:rPr>
      </w:pPr>
      <w:r w:rsidRPr="0096762D">
        <w:rPr>
          <w:u w:val="single"/>
        </w:rPr>
        <w:t>Summative sampling:</w:t>
      </w:r>
    </w:p>
    <w:p w:rsidR="00E37C69" w:rsidRPr="00E37C69" w:rsidRDefault="00E37C69" w:rsidP="00E37C69">
      <w:r w:rsidRPr="00E37C69">
        <w:t>The internal verifier should review the quality of the final assessment</w:t>
      </w:r>
      <w:r w:rsidR="00FE050E">
        <w:t xml:space="preserve"> </w:t>
      </w:r>
      <w:r w:rsidRPr="00E37C69">
        <w:t>decision by evaluating how the assessor has reached that decision.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Sampling across assessors</w:t>
      </w:r>
    </w:p>
    <w:p w:rsidR="00E37C69" w:rsidRPr="00E37C69" w:rsidRDefault="00E37C69" w:rsidP="00E37C69">
      <w:r w:rsidRPr="00E37C69">
        <w:t>The internal verifier should sample at least one portfolio as well as comparing</w:t>
      </w:r>
      <w:r w:rsidR="00FE050E">
        <w:t xml:space="preserve"> </w:t>
      </w:r>
      <w:r w:rsidRPr="00E37C69">
        <w:t>evidence for certain units, elements or performance criteria across assessors</w:t>
      </w:r>
      <w:r w:rsidR="00FE050E">
        <w:t xml:space="preserve"> </w:t>
      </w:r>
      <w:r w:rsidRPr="00E37C69">
        <w:t xml:space="preserve">to ensure consistency between assessors </w:t>
      </w:r>
      <w:r w:rsidRPr="00E37C69">
        <w:lastRenderedPageBreak/>
        <w:t>over time and with different</w:t>
      </w:r>
      <w:r w:rsidR="00FE050E">
        <w:t xml:space="preserve"> </w:t>
      </w:r>
      <w:r w:rsidRPr="00E37C69">
        <w:t>candidates. This process also assists in identifying the most appropriate</w:t>
      </w:r>
      <w:r w:rsidR="00FE050E">
        <w:t xml:space="preserve"> </w:t>
      </w:r>
      <w:r w:rsidRPr="00E37C69">
        <w:t>forms of evidence that can cover the requirements of the</w:t>
      </w:r>
      <w:r w:rsidR="00FE050E">
        <w:t xml:space="preserve"> </w:t>
      </w:r>
      <w:r w:rsidRPr="00E37C69">
        <w:t>qualification/scheme.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Observation of assessment practice</w:t>
      </w:r>
    </w:p>
    <w:p w:rsidR="00E37C69" w:rsidRPr="00E37C69" w:rsidRDefault="00E37C69" w:rsidP="00E37C69">
      <w:r w:rsidRPr="00E37C69">
        <w:t>By observing the assessor at work, a greater understanding of the assessment</w:t>
      </w:r>
      <w:r w:rsidR="00FE050E">
        <w:t xml:space="preserve"> </w:t>
      </w:r>
      <w:r w:rsidRPr="00E37C69">
        <w:t>process is gained, particularly in the area of decision making; the internal</w:t>
      </w:r>
      <w:r w:rsidR="00FE050E">
        <w:t xml:space="preserve"> </w:t>
      </w:r>
      <w:r w:rsidRPr="00E37C69">
        <w:t>verifier also achieves a greater understanding of how the diverse needs of</w:t>
      </w:r>
      <w:r w:rsidR="00FE050E">
        <w:t xml:space="preserve"> </w:t>
      </w:r>
      <w:r w:rsidRPr="00E37C69">
        <w:t>candidates are met.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Standardising assessment judgements</w:t>
      </w:r>
    </w:p>
    <w:p w:rsidR="00E37C69" w:rsidRPr="00E37C69" w:rsidRDefault="00E37C69" w:rsidP="00E37C69">
      <w:r w:rsidRPr="00E37C69">
        <w:t>The internal verifier must ensure that:</w:t>
      </w:r>
    </w:p>
    <w:p w:rsidR="00E37C69" w:rsidRPr="00E37C69" w:rsidRDefault="00E37C69" w:rsidP="00FE050E">
      <w:pPr>
        <w:pStyle w:val="ListParagraph"/>
        <w:numPr>
          <w:ilvl w:val="0"/>
          <w:numId w:val="16"/>
        </w:numPr>
      </w:pPr>
      <w:r w:rsidRPr="00E37C69">
        <w:t>consistency and reliability of assessment is maintained</w:t>
      </w:r>
    </w:p>
    <w:p w:rsidR="00E37C69" w:rsidRPr="00E37C69" w:rsidRDefault="00E37C69" w:rsidP="00FE050E">
      <w:pPr>
        <w:pStyle w:val="ListParagraph"/>
        <w:numPr>
          <w:ilvl w:val="0"/>
          <w:numId w:val="16"/>
        </w:numPr>
      </w:pPr>
      <w:r w:rsidRPr="00E37C69">
        <w:t>records of standardisation meetings/exercises are kept</w:t>
      </w:r>
    </w:p>
    <w:p w:rsidR="00E37C69" w:rsidRPr="00E37C69" w:rsidRDefault="00E37C69" w:rsidP="00FE050E">
      <w:pPr>
        <w:pStyle w:val="ListParagraph"/>
        <w:numPr>
          <w:ilvl w:val="0"/>
          <w:numId w:val="16"/>
        </w:numPr>
      </w:pPr>
      <w:r w:rsidRPr="00E37C69">
        <w:t>feedback is provided to assessors</w:t>
      </w:r>
    </w:p>
    <w:p w:rsidR="00E37C69" w:rsidRPr="00E37C69" w:rsidRDefault="00E37C69" w:rsidP="00FE050E">
      <w:pPr>
        <w:pStyle w:val="ListParagraph"/>
        <w:numPr>
          <w:ilvl w:val="0"/>
          <w:numId w:val="16"/>
        </w:numPr>
      </w:pPr>
      <w:r w:rsidRPr="00E37C69">
        <w:t>problems encountered with individual candidates are discussed and</w:t>
      </w:r>
      <w:r w:rsidR="00FE050E">
        <w:t xml:space="preserve"> </w:t>
      </w:r>
      <w:r w:rsidRPr="00E37C69">
        <w:t>appropriate action taken.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Meetings and communications</w:t>
      </w:r>
    </w:p>
    <w:p w:rsidR="00E37C69" w:rsidRPr="00E37C69" w:rsidRDefault="00E37C69" w:rsidP="00E37C69">
      <w:r w:rsidRPr="00E37C69">
        <w:t>It is important that the outcomes of the above process, as well as feedback</w:t>
      </w:r>
      <w:r w:rsidR="00FE050E">
        <w:t xml:space="preserve"> </w:t>
      </w:r>
      <w:r w:rsidRPr="00E37C69">
        <w:t xml:space="preserve">from the moderator and the external verifier and awarding body issues </w:t>
      </w:r>
      <w:r w:rsidR="00325E7B" w:rsidRPr="00E37C69">
        <w:t>etc.</w:t>
      </w:r>
      <w:r w:rsidRPr="00E37C69">
        <w:t>,</w:t>
      </w:r>
      <w:r w:rsidR="00FE050E">
        <w:t xml:space="preserve"> </w:t>
      </w:r>
      <w:r w:rsidRPr="00E37C69">
        <w:t>are disseminated and discussed at regular meetings with the assessment team,</w:t>
      </w:r>
      <w:r w:rsidR="00FE050E">
        <w:t xml:space="preserve"> </w:t>
      </w:r>
      <w:r w:rsidRPr="00E37C69">
        <w:t>in order to develop a common understanding of the assessment process.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2.5 Frequency and volume of internal verification activity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Awarding body requirements</w:t>
      </w:r>
    </w:p>
    <w:p w:rsidR="00E37C69" w:rsidRPr="00E37C69" w:rsidRDefault="00E37C69" w:rsidP="00E37C69">
      <w:r w:rsidRPr="00E37C69">
        <w:t>Internal verifiers should ensure that awarding body requirements are met.</w:t>
      </w:r>
      <w:r w:rsidR="00FE050E">
        <w:t xml:space="preserve"> </w:t>
      </w:r>
      <w:r w:rsidRPr="00E37C69">
        <w:t>The frequency and volume of internal verification activity is dependent upon</w:t>
      </w:r>
      <w:r w:rsidR="00FE050E">
        <w:t xml:space="preserve"> </w:t>
      </w:r>
      <w:r w:rsidRPr="00E37C69">
        <w:t>the duration and intensity of the course, as well as the number of candidates</w:t>
      </w:r>
      <w:r w:rsidR="00FE050E">
        <w:t xml:space="preserve"> </w:t>
      </w:r>
      <w:r w:rsidRPr="00E37C69">
        <w:t>being assessed. As a guide, the sample of assessment decisions which are</w:t>
      </w:r>
      <w:r w:rsidR="00FE050E">
        <w:t xml:space="preserve"> </w:t>
      </w:r>
      <w:r w:rsidRPr="00E37C69">
        <w:t>internally verified is usually between 20 and 40%. The internal verifier should</w:t>
      </w:r>
      <w:r w:rsidR="00FE050E">
        <w:t xml:space="preserve"> </w:t>
      </w:r>
      <w:r w:rsidRPr="00E37C69">
        <w:t>sample at least one portfolio as well as comparing evidence for certain units,</w:t>
      </w:r>
      <w:r w:rsidR="00FE050E">
        <w:t xml:space="preserve"> </w:t>
      </w:r>
      <w:r w:rsidRPr="00E37C69">
        <w:t>elements or performance criteria across assessors to ensure consistency</w:t>
      </w:r>
      <w:r w:rsidR="00FE050E">
        <w:t xml:space="preserve"> </w:t>
      </w:r>
      <w:r w:rsidRPr="00E37C69">
        <w:t>between assessors over time and with different candidates.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New qualifications / schemes and newly appointed assessors</w:t>
      </w:r>
    </w:p>
    <w:p w:rsidR="00E37C69" w:rsidRPr="00E37C69" w:rsidRDefault="00E37C69" w:rsidP="00E37C69">
      <w:r w:rsidRPr="00E37C69">
        <w:t>When undertaking a new qualification / scheme, or where assessors are</w:t>
      </w:r>
      <w:r w:rsidR="00FE050E">
        <w:t xml:space="preserve"> </w:t>
      </w:r>
      <w:r w:rsidRPr="00E37C69">
        <w:t>newly appointed, centres may wish to ensure that between 50 - 100% of</w:t>
      </w:r>
      <w:r w:rsidR="00FE050E">
        <w:t xml:space="preserve"> </w:t>
      </w:r>
      <w:r w:rsidRPr="00E37C69">
        <w:t>assessment decisions are internally verified, in order to have confidence that</w:t>
      </w:r>
      <w:r w:rsidR="00FE050E">
        <w:t xml:space="preserve"> </w:t>
      </w:r>
      <w:r w:rsidRPr="00E37C69">
        <w:t>judgements are consistent and assessments are appropriate.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2.6 Meeting external quality improvement requirements</w:t>
      </w:r>
    </w:p>
    <w:p w:rsidR="00E37C69" w:rsidRPr="00E37C69" w:rsidRDefault="00E37C69" w:rsidP="00E37C69">
      <w:r w:rsidRPr="00E37C69">
        <w:t>The internal verifier must:</w:t>
      </w:r>
    </w:p>
    <w:p w:rsidR="00E37C69" w:rsidRPr="00E37C69" w:rsidRDefault="00E37C69" w:rsidP="00FE050E">
      <w:pPr>
        <w:pStyle w:val="ListParagraph"/>
        <w:numPr>
          <w:ilvl w:val="0"/>
          <w:numId w:val="18"/>
        </w:numPr>
      </w:pPr>
      <w:r w:rsidRPr="00E37C69">
        <w:t>identify how internal assessments will be checked externally and the</w:t>
      </w:r>
      <w:r w:rsidR="00FE050E">
        <w:t xml:space="preserve"> </w:t>
      </w:r>
      <w:r w:rsidRPr="00E37C69">
        <w:t>information needed for this purpose</w:t>
      </w:r>
    </w:p>
    <w:p w:rsidR="00E37C69" w:rsidRPr="00E37C69" w:rsidRDefault="00E37C69" w:rsidP="00FE050E">
      <w:pPr>
        <w:pStyle w:val="ListParagraph"/>
        <w:numPr>
          <w:ilvl w:val="0"/>
          <w:numId w:val="18"/>
        </w:numPr>
      </w:pPr>
      <w:r w:rsidRPr="00E37C69">
        <w:t>plan, collect and analyse information on internal assessment decisions</w:t>
      </w:r>
    </w:p>
    <w:p w:rsidR="00E37C69" w:rsidRPr="00E37C69" w:rsidRDefault="00E37C69" w:rsidP="00FE050E">
      <w:pPr>
        <w:pStyle w:val="ListParagraph"/>
        <w:numPr>
          <w:ilvl w:val="0"/>
          <w:numId w:val="18"/>
        </w:numPr>
      </w:pPr>
      <w:r w:rsidRPr="00E37C69">
        <w:lastRenderedPageBreak/>
        <w:t>agree the timing and nature of external verification arrangements</w:t>
      </w:r>
    </w:p>
    <w:p w:rsidR="00E37C69" w:rsidRPr="00E37C69" w:rsidRDefault="00E37C69" w:rsidP="00FE050E">
      <w:pPr>
        <w:pStyle w:val="ListParagraph"/>
        <w:numPr>
          <w:ilvl w:val="0"/>
          <w:numId w:val="18"/>
        </w:numPr>
      </w:pPr>
      <w:r w:rsidRPr="00E37C69">
        <w:t>give supporting background information to external verifiers about the</w:t>
      </w:r>
      <w:r w:rsidR="00FE050E">
        <w:t xml:space="preserve"> </w:t>
      </w:r>
      <w:r w:rsidRPr="00E37C69">
        <w:t>assessment process</w:t>
      </w:r>
    </w:p>
    <w:p w:rsidR="00E37C69" w:rsidRPr="00E37C69" w:rsidRDefault="00E37C69" w:rsidP="00FE050E">
      <w:pPr>
        <w:pStyle w:val="ListParagraph"/>
        <w:numPr>
          <w:ilvl w:val="0"/>
          <w:numId w:val="18"/>
        </w:numPr>
      </w:pPr>
      <w:r w:rsidRPr="00E37C69">
        <w:t>explain any issues raised by external verifiers and give them supporting</w:t>
      </w:r>
      <w:r w:rsidR="00FE050E">
        <w:t xml:space="preserve"> </w:t>
      </w:r>
      <w:r w:rsidRPr="00E37C69">
        <w:t>information as necessary</w:t>
      </w:r>
    </w:p>
    <w:p w:rsidR="00E37C69" w:rsidRPr="00E37C69" w:rsidRDefault="00E37C69" w:rsidP="00FE050E">
      <w:pPr>
        <w:pStyle w:val="ListParagraph"/>
        <w:numPr>
          <w:ilvl w:val="0"/>
          <w:numId w:val="18"/>
        </w:numPr>
      </w:pPr>
      <w:r w:rsidRPr="00E37C69">
        <w:t>raise concerns and disagreements about external audit decisions in a clear</w:t>
      </w:r>
      <w:r w:rsidR="00FE050E">
        <w:t xml:space="preserve"> </w:t>
      </w:r>
      <w:r w:rsidRPr="00E37C69">
        <w:t>and constructive way</w:t>
      </w:r>
    </w:p>
    <w:p w:rsidR="00E37C69" w:rsidRPr="00E37C69" w:rsidRDefault="00E37C69" w:rsidP="00FE050E">
      <w:pPr>
        <w:pStyle w:val="ListParagraph"/>
        <w:numPr>
          <w:ilvl w:val="0"/>
          <w:numId w:val="18"/>
        </w:numPr>
      </w:pPr>
      <w:r w:rsidRPr="00E37C69">
        <w:t>refer any questions or concerns, which could not be dealt with internally,</w:t>
      </w:r>
      <w:r w:rsidR="00FE050E">
        <w:t xml:space="preserve"> </w:t>
      </w:r>
      <w:r w:rsidRPr="00E37C69">
        <w:t>to the awarding body</w:t>
      </w:r>
    </w:p>
    <w:p w:rsidR="00E37C69" w:rsidRPr="00E37C69" w:rsidRDefault="00E37C69" w:rsidP="00FE050E">
      <w:pPr>
        <w:pStyle w:val="ListParagraph"/>
        <w:numPr>
          <w:ilvl w:val="0"/>
          <w:numId w:val="18"/>
        </w:numPr>
      </w:pPr>
      <w:r w:rsidRPr="00E37C69">
        <w:t>give assessors feedback on external verification decisions</w:t>
      </w:r>
    </w:p>
    <w:p w:rsidR="00E37C69" w:rsidRPr="00E37C69" w:rsidRDefault="00E37C69" w:rsidP="00FE050E">
      <w:pPr>
        <w:pStyle w:val="ListParagraph"/>
        <w:numPr>
          <w:ilvl w:val="0"/>
          <w:numId w:val="18"/>
        </w:numPr>
      </w:pPr>
      <w:r w:rsidRPr="00E37C69">
        <w:t>ensure that external verification decisions are included in internal reviews</w:t>
      </w:r>
      <w:r w:rsidR="00FE050E">
        <w:t xml:space="preserve"> </w:t>
      </w:r>
      <w:r w:rsidRPr="00E37C69">
        <w:t>of procedures.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2.7 Recording verification activity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Recording documentation</w:t>
      </w:r>
    </w:p>
    <w:p w:rsidR="00E37C69" w:rsidRPr="00E37C69" w:rsidRDefault="00E37C69" w:rsidP="00E37C69">
      <w:r w:rsidRPr="00E37C69">
        <w:t>Recording mechanisms should provide evidence that internal verification has</w:t>
      </w:r>
      <w:r w:rsidR="00FE050E">
        <w:t xml:space="preserve"> </w:t>
      </w:r>
      <w:r w:rsidRPr="00E37C69">
        <w:t>been carried out regularly and systematically and should show that it has</w:t>
      </w:r>
      <w:r w:rsidR="00FE050E">
        <w:t xml:space="preserve"> </w:t>
      </w:r>
      <w:r w:rsidRPr="00E37C69">
        <w:t>occurred across candidates, units and assessors.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Evaluation of procedures</w:t>
      </w:r>
    </w:p>
    <w:p w:rsidR="00E37C69" w:rsidRPr="00E37C69" w:rsidRDefault="00E37C69" w:rsidP="00E37C69">
      <w:r w:rsidRPr="00E37C69">
        <w:t>It is good practice to evaluate the reporting procedures regularly to ensure</w:t>
      </w:r>
      <w:r w:rsidR="00FE050E">
        <w:t xml:space="preserve"> </w:t>
      </w:r>
      <w:r w:rsidRPr="00E37C69">
        <w:t>that the recording mechanisms are fit for their purpose and that the</w:t>
      </w:r>
      <w:r w:rsidR="00FE050E">
        <w:t xml:space="preserve"> </w:t>
      </w:r>
      <w:r w:rsidRPr="00E37C69">
        <w:t>information recorded is appropriate and useful.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Currency and security</w:t>
      </w:r>
    </w:p>
    <w:p w:rsidR="00E37C69" w:rsidRPr="00E37C69" w:rsidRDefault="00E37C69" w:rsidP="00E37C69">
      <w:r w:rsidRPr="00E37C69">
        <w:t>Records of all assessment and verification activity must be kept both current</w:t>
      </w:r>
      <w:r w:rsidR="00FE050E">
        <w:t xml:space="preserve"> </w:t>
      </w:r>
      <w:r w:rsidRPr="00E37C69">
        <w:t>and secure and be made available only to appropriate personnel and for</w:t>
      </w:r>
      <w:r w:rsidR="00FE050E">
        <w:t xml:space="preserve"> </w:t>
      </w:r>
      <w:r w:rsidRPr="00E37C69">
        <w:t>external verification purposes.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Claiming certification</w:t>
      </w:r>
    </w:p>
    <w:p w:rsidR="00E37C69" w:rsidRPr="00E37C69" w:rsidRDefault="00E37C69" w:rsidP="00E37C69">
      <w:r w:rsidRPr="00E37C69">
        <w:t>Following final verification activity, it is the responsibility of the internal</w:t>
      </w:r>
      <w:r w:rsidR="00FE050E">
        <w:t xml:space="preserve"> </w:t>
      </w:r>
      <w:r w:rsidRPr="00E37C69">
        <w:t xml:space="preserve">verifier to liaise with </w:t>
      </w:r>
      <w:r w:rsidR="00AB147C">
        <w:t>the exams officer</w:t>
      </w:r>
      <w:r w:rsidRPr="00E37C69">
        <w:t xml:space="preserve"> to ensure that all candidate</w:t>
      </w:r>
      <w:r w:rsidR="00FE050E">
        <w:t xml:space="preserve"> </w:t>
      </w:r>
      <w:r w:rsidRPr="00E37C69">
        <w:t>certification claim forms are completed accurately and signed.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2.8 External verification visits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Liaison with external verifier</w:t>
      </w:r>
    </w:p>
    <w:p w:rsidR="00E37C69" w:rsidRPr="00E37C69" w:rsidRDefault="00E37C69" w:rsidP="00E37C69">
      <w:r w:rsidRPr="00E37C69">
        <w:t xml:space="preserve">The internal verifier should liaise with the </w:t>
      </w:r>
      <w:r w:rsidR="00AB147C">
        <w:t>exams officer</w:t>
      </w:r>
      <w:r w:rsidR="00FE050E">
        <w:t xml:space="preserve"> </w:t>
      </w:r>
      <w:r w:rsidRPr="00E37C69">
        <w:t>who will maintain contact the external verifier appointed by the awarding</w:t>
      </w:r>
      <w:r w:rsidR="00FE050E">
        <w:t xml:space="preserve"> </w:t>
      </w:r>
      <w:r w:rsidRPr="00E37C69">
        <w:t>body to arrange an appropriate number of visits to the Centre.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Awarding body requirements</w:t>
      </w:r>
    </w:p>
    <w:p w:rsidR="00E37C69" w:rsidRPr="00E37C69" w:rsidRDefault="00E37C69" w:rsidP="00E37C69">
      <w:r w:rsidRPr="00E37C69">
        <w:t>All necessary information, portfolios of evidence, candidate records and</w:t>
      </w:r>
      <w:r w:rsidR="00FE050E">
        <w:t xml:space="preserve"> </w:t>
      </w:r>
      <w:r w:rsidRPr="00E37C69">
        <w:t>internal verification records must be made available to the external verifier</w:t>
      </w:r>
      <w:r w:rsidR="00FE050E">
        <w:t xml:space="preserve"> </w:t>
      </w:r>
      <w:r w:rsidRPr="00E37C69">
        <w:t xml:space="preserve">and awarding body requirements must be </w:t>
      </w:r>
      <w:r w:rsidR="00325E7B" w:rsidRPr="00E37C69">
        <w:t xml:space="preserve">met </w:t>
      </w:r>
      <w:r w:rsidR="00325E7B">
        <w:t>before</w:t>
      </w:r>
      <w:r w:rsidRPr="00E37C69">
        <w:t>, during and after the</w:t>
      </w:r>
      <w:r w:rsidR="00FE050E">
        <w:t xml:space="preserve"> </w:t>
      </w:r>
      <w:r w:rsidRPr="00E37C69">
        <w:t>visit.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Issues and concerns</w:t>
      </w:r>
    </w:p>
    <w:p w:rsidR="00E37C69" w:rsidRPr="00E37C69" w:rsidRDefault="00E37C69" w:rsidP="00E37C69">
      <w:r w:rsidRPr="00E37C69">
        <w:lastRenderedPageBreak/>
        <w:t>Any issues or concerns that have been raised by candidates, assessors or</w:t>
      </w:r>
      <w:r w:rsidR="00FE050E">
        <w:t xml:space="preserve"> </w:t>
      </w:r>
      <w:r w:rsidRPr="00E37C69">
        <w:t>other Centre staff that have not been satisfactorily resolved, should be raised</w:t>
      </w:r>
      <w:r w:rsidR="00FE050E">
        <w:t xml:space="preserve"> </w:t>
      </w:r>
      <w:r w:rsidRPr="00E37C69">
        <w:t>with the External Verifier prior to the meeting, in order that these can be</w:t>
      </w:r>
      <w:r w:rsidR="00FE050E">
        <w:t xml:space="preserve"> </w:t>
      </w:r>
      <w:r w:rsidRPr="00E37C69">
        <w:t>accommodated into the visit plan.</w:t>
      </w:r>
    </w:p>
    <w:p w:rsidR="00E37C69" w:rsidRPr="00E37C69" w:rsidRDefault="00E37C69" w:rsidP="00E37C69">
      <w:pPr>
        <w:rPr>
          <w:b/>
          <w:bCs/>
        </w:rPr>
      </w:pPr>
      <w:r w:rsidRPr="00E37C69">
        <w:rPr>
          <w:b/>
          <w:bCs/>
        </w:rPr>
        <w:t>2.9 Sources of support</w:t>
      </w:r>
    </w:p>
    <w:p w:rsidR="00E37C69" w:rsidRPr="00E37C69" w:rsidRDefault="00E37C69" w:rsidP="00E37C69">
      <w:r w:rsidRPr="00E37C69">
        <w:t>Support for the internal verification is available from the following:</w:t>
      </w:r>
    </w:p>
    <w:p w:rsidR="00E37C69" w:rsidRPr="00E37C69" w:rsidRDefault="00E37C69" w:rsidP="00FE050E">
      <w:pPr>
        <w:pStyle w:val="ListParagraph"/>
        <w:numPr>
          <w:ilvl w:val="0"/>
          <w:numId w:val="19"/>
        </w:numPr>
      </w:pPr>
      <w:r w:rsidRPr="00E37C69">
        <w:t>Awarding Body centre staff</w:t>
      </w:r>
    </w:p>
    <w:p w:rsidR="00E37C69" w:rsidRDefault="00E37C69" w:rsidP="00FE050E">
      <w:pPr>
        <w:pStyle w:val="ListParagraph"/>
        <w:numPr>
          <w:ilvl w:val="0"/>
          <w:numId w:val="19"/>
        </w:numPr>
      </w:pPr>
      <w:r w:rsidRPr="00E37C69">
        <w:t>External verifiers</w:t>
      </w:r>
    </w:p>
    <w:p w:rsidR="00E37C69" w:rsidRPr="00D274A4" w:rsidRDefault="00E37C69" w:rsidP="00E37C69">
      <w:pPr>
        <w:rPr>
          <w:b/>
          <w:bCs/>
          <w:sz w:val="28"/>
        </w:rPr>
      </w:pPr>
      <w:r w:rsidRPr="00D274A4">
        <w:rPr>
          <w:b/>
          <w:bCs/>
          <w:sz w:val="28"/>
        </w:rPr>
        <w:t>3 Appeals Procedure</w:t>
      </w:r>
    </w:p>
    <w:p w:rsidR="00E37C69" w:rsidRPr="00E37C69" w:rsidRDefault="00E37C69" w:rsidP="00E37C69">
      <w:r w:rsidRPr="00E37C69">
        <w:t>If a candidate is dissatisfied with an assessment decision made by an assessor, s/he</w:t>
      </w:r>
      <w:r w:rsidR="00FE050E">
        <w:t xml:space="preserve"> </w:t>
      </w:r>
      <w:r w:rsidRPr="00E37C69">
        <w:t>has the right of appeal. The main reasons for an appeal are likely to be:</w:t>
      </w:r>
    </w:p>
    <w:p w:rsidR="00E37C69" w:rsidRPr="00E37C69" w:rsidRDefault="00E37C69" w:rsidP="00FE050E">
      <w:pPr>
        <w:pStyle w:val="ListParagraph"/>
        <w:numPr>
          <w:ilvl w:val="0"/>
          <w:numId w:val="20"/>
        </w:numPr>
      </w:pPr>
      <w:r w:rsidRPr="00E37C69">
        <w:t>The candidate does not understand why the assessment decision has been made</w:t>
      </w:r>
      <w:r w:rsidR="00FE050E">
        <w:t xml:space="preserve"> </w:t>
      </w:r>
      <w:r w:rsidRPr="00E37C69">
        <w:t>because of lack of, or unclear, feedback from the assessor.</w:t>
      </w:r>
    </w:p>
    <w:p w:rsidR="00E37C69" w:rsidRPr="00E37C69" w:rsidRDefault="00E37C69" w:rsidP="00FE050E">
      <w:pPr>
        <w:pStyle w:val="ListParagraph"/>
        <w:numPr>
          <w:ilvl w:val="0"/>
          <w:numId w:val="20"/>
        </w:numPr>
      </w:pPr>
      <w:r w:rsidRPr="00E37C69">
        <w:t>The candidate believes the assessor has missed, misjudged or misinterpreted</w:t>
      </w:r>
      <w:r w:rsidR="00FE050E">
        <w:t xml:space="preserve"> </w:t>
      </w:r>
      <w:r w:rsidRPr="00E37C69">
        <w:t>some of the evidence put forward for assessment.</w:t>
      </w:r>
    </w:p>
    <w:p w:rsidR="00E37C69" w:rsidRPr="00E37C69" w:rsidRDefault="00E37C69" w:rsidP="00E37C69">
      <w:r w:rsidRPr="00E37C69">
        <w:t>Where the candidate does not agree with the assessment, the candidate should</w:t>
      </w:r>
      <w:r w:rsidR="00FE050E">
        <w:t xml:space="preserve"> </w:t>
      </w:r>
      <w:r w:rsidRPr="00E37C69">
        <w:t>advise the Centre indicating the points of disagreement with reasons and reference</w:t>
      </w:r>
      <w:r w:rsidR="00FE050E">
        <w:t xml:space="preserve"> </w:t>
      </w:r>
      <w:r w:rsidRPr="00E37C69">
        <w:t>to the evidence in the portfolio.</w:t>
      </w:r>
    </w:p>
    <w:p w:rsidR="00E37C69" w:rsidRPr="00E37C69" w:rsidRDefault="00E37C69" w:rsidP="00E37C69">
      <w:r w:rsidRPr="00E37C69">
        <w:t>There are 3 stages in the appeals procedure and each stage must be completed</w:t>
      </w:r>
      <w:r w:rsidR="00FE050E">
        <w:t xml:space="preserve"> </w:t>
      </w:r>
      <w:r w:rsidRPr="00E37C69">
        <w:t>before proceeding to the next one. All candidates who register an appeal will</w:t>
      </w:r>
      <w:r w:rsidR="00FE050E">
        <w:t xml:space="preserve"> </w:t>
      </w:r>
      <w:r w:rsidRPr="00E37C69">
        <w:t>receive a formal reply.</w:t>
      </w:r>
    </w:p>
    <w:p w:rsidR="00E37C69" w:rsidRPr="00E37C69" w:rsidRDefault="00E37C69" w:rsidP="00E37C69">
      <w:r w:rsidRPr="00E37C69">
        <w:t>Stage 1</w:t>
      </w:r>
    </w:p>
    <w:p w:rsidR="00E37C69" w:rsidRPr="00E37C69" w:rsidRDefault="00E37C69" w:rsidP="00E37C69">
      <w:r w:rsidRPr="00E37C69">
        <w:t>The candidate appeals directly to the assessor who has carried out the assessment</w:t>
      </w:r>
      <w:r w:rsidR="00FE050E">
        <w:t xml:space="preserve"> </w:t>
      </w:r>
      <w:r w:rsidRPr="00E37C69">
        <w:t>by completing the Candidate Appeal Report. The assessor will advise the candidate</w:t>
      </w:r>
      <w:r w:rsidR="00FE050E">
        <w:t xml:space="preserve"> </w:t>
      </w:r>
      <w:r w:rsidRPr="00E37C69">
        <w:t>of the decision in writing within 10 working days.</w:t>
      </w:r>
    </w:p>
    <w:p w:rsidR="00E37C69" w:rsidRPr="00E37C69" w:rsidRDefault="00E37C69" w:rsidP="00E37C69">
      <w:r w:rsidRPr="00E37C69">
        <w:t>Stage 2</w:t>
      </w:r>
    </w:p>
    <w:p w:rsidR="00E37C69" w:rsidRPr="00E37C69" w:rsidRDefault="00E37C69" w:rsidP="00E37C69">
      <w:r w:rsidRPr="00E37C69">
        <w:t>If the candidate is not satisfied with the decision made in Stage 1, s/he can proceed</w:t>
      </w:r>
      <w:r w:rsidR="00FE050E">
        <w:t xml:space="preserve"> </w:t>
      </w:r>
      <w:r w:rsidRPr="00E37C69">
        <w:t>to Stage 2 by appealing to the internal verifier. All candidate appeals will be</w:t>
      </w:r>
      <w:r w:rsidR="00FE050E">
        <w:t xml:space="preserve"> </w:t>
      </w:r>
      <w:r w:rsidRPr="00E37C69">
        <w:t>acknowledged and investigated to establish facts and evidence supporting the appeal.</w:t>
      </w:r>
      <w:r w:rsidR="00FE050E">
        <w:t xml:space="preserve"> </w:t>
      </w:r>
      <w:r w:rsidRPr="00E37C69">
        <w:t>If an appeal is considered justified remedial action will be taken. The internal verifier</w:t>
      </w:r>
      <w:r w:rsidR="00FE050E">
        <w:t xml:space="preserve"> </w:t>
      </w:r>
      <w:r w:rsidRPr="00E37C69">
        <w:t>will discuss the appeal with the Moderator/</w:t>
      </w:r>
      <w:r w:rsidR="00AB147C">
        <w:t>awarding body</w:t>
      </w:r>
      <w:r w:rsidRPr="00E37C69">
        <w:t xml:space="preserve"> who will respond</w:t>
      </w:r>
      <w:r w:rsidR="00FE050E">
        <w:t xml:space="preserve"> </w:t>
      </w:r>
      <w:r w:rsidRPr="00E37C69">
        <w:t>within 10 working days of receiving the candidate’s appeal.</w:t>
      </w:r>
    </w:p>
    <w:p w:rsidR="00E37C69" w:rsidRPr="00E37C69" w:rsidRDefault="00E37C69" w:rsidP="00E37C69">
      <w:r w:rsidRPr="00E37C69">
        <w:t>Stage 3</w:t>
      </w:r>
    </w:p>
    <w:p w:rsidR="00E37C69" w:rsidRPr="00E37C69" w:rsidRDefault="00E37C69" w:rsidP="00E37C69">
      <w:r w:rsidRPr="00E37C69">
        <w:t>Candidates who have exhausted Stage 1 and Stage 2 and are still not satisfied with</w:t>
      </w:r>
      <w:r w:rsidR="00FE050E">
        <w:t xml:space="preserve"> </w:t>
      </w:r>
      <w:r w:rsidRPr="00E37C69">
        <w:t>the decision may proceed to Stage 3. This appeal must be in writing to the Awarding</w:t>
      </w:r>
      <w:r w:rsidR="00FE050E">
        <w:t xml:space="preserve"> </w:t>
      </w:r>
      <w:r w:rsidRPr="00E37C69">
        <w:t>Body and must be accompanied by copies of all the documentation used in Stage 1</w:t>
      </w:r>
      <w:r w:rsidR="00FE050E">
        <w:t xml:space="preserve"> </w:t>
      </w:r>
      <w:r w:rsidRPr="00E37C69">
        <w:t>and Stage 2.</w:t>
      </w:r>
    </w:p>
    <w:p w:rsidR="00E37C69" w:rsidRDefault="00E37C69" w:rsidP="00E37C69">
      <w:r w:rsidRPr="00E37C69">
        <w:t>The Awarding Body decision will be final.</w:t>
      </w:r>
    </w:p>
    <w:p w:rsidR="008B0722" w:rsidRDefault="008B0722" w:rsidP="006E1269">
      <w:pPr>
        <w:pStyle w:val="Heading1"/>
        <w:rPr>
          <w:sz w:val="22"/>
        </w:rPr>
      </w:pPr>
    </w:p>
    <w:p w:rsidR="006E1269" w:rsidRPr="006E1269" w:rsidRDefault="006E1269" w:rsidP="006E1269">
      <w:pPr>
        <w:pStyle w:val="Heading1"/>
        <w:rPr>
          <w:sz w:val="22"/>
        </w:rPr>
      </w:pPr>
      <w:r w:rsidRPr="006E1269">
        <w:rPr>
          <w:sz w:val="22"/>
        </w:rPr>
        <w:lastRenderedPageBreak/>
        <w:t>Appeals against Centre Decisions about Enquiries about Results (</w:t>
      </w:r>
      <w:proofErr w:type="spellStart"/>
      <w:r w:rsidRPr="006E1269">
        <w:rPr>
          <w:sz w:val="22"/>
        </w:rPr>
        <w:t>EaRs</w:t>
      </w:r>
      <w:proofErr w:type="spellEnd"/>
      <w:r w:rsidRPr="006E1269">
        <w:rPr>
          <w:sz w:val="22"/>
        </w:rPr>
        <w:t>)</w:t>
      </w:r>
    </w:p>
    <w:p w:rsidR="006E1269" w:rsidRPr="006E1269" w:rsidRDefault="006E1269" w:rsidP="006E1269">
      <w:pPr>
        <w:pStyle w:val="Heading1"/>
        <w:rPr>
          <w:color w:val="FF0000"/>
          <w:sz w:val="19"/>
        </w:rPr>
      </w:pPr>
    </w:p>
    <w:p w:rsidR="006E1269" w:rsidRDefault="006E1269" w:rsidP="006E1269">
      <w:r w:rsidRPr="006E1269">
        <w:t>In cases of Enquiries about Results, where the centre does not uphold a request for such an enquiry, the student may normally pay to have an enquiry carried out.  Where a student wishes to challenge the decision not to hold an enquiry or consequent appeal, a similar procedure to that outlined above will be conducted.</w:t>
      </w:r>
    </w:p>
    <w:p w:rsidR="008B0722" w:rsidRDefault="008B0722" w:rsidP="006E1269">
      <w:pPr>
        <w:rPr>
          <w:b/>
        </w:rPr>
      </w:pPr>
      <w:r>
        <w:rPr>
          <w:b/>
        </w:rPr>
        <w:t>Shane Cooper – September 2016</w:t>
      </w:r>
    </w:p>
    <w:p w:rsidR="008B0722" w:rsidRDefault="008B0722" w:rsidP="006E1269">
      <w:pPr>
        <w:rPr>
          <w:b/>
        </w:rPr>
      </w:pPr>
    </w:p>
    <w:p w:rsidR="008B0722" w:rsidRDefault="008B0722" w:rsidP="008B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B0722" w:rsidRDefault="008B0722" w:rsidP="008B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This Policy</w:t>
      </w:r>
      <w:bookmarkStart w:id="0" w:name="_GoBack"/>
      <w:bookmarkEnd w:id="0"/>
      <w:r>
        <w:rPr>
          <w:b/>
        </w:rPr>
        <w:t xml:space="preserve"> was formally reviewed and ratified by the Governing Body on _____________________</w:t>
      </w:r>
    </w:p>
    <w:p w:rsidR="008B0722" w:rsidRDefault="008B0722" w:rsidP="008B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Signed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:rsidR="008B0722" w:rsidRDefault="008B0722" w:rsidP="008B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Chair of Governors</w:t>
      </w:r>
    </w:p>
    <w:p w:rsidR="008B0722" w:rsidRDefault="008B0722" w:rsidP="008B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8B0722" w:rsidRDefault="008B0722" w:rsidP="008B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:rsidR="008B0722" w:rsidRDefault="008B0722" w:rsidP="008B0722">
      <w:pPr>
        <w:spacing w:after="0"/>
        <w:rPr>
          <w:b/>
        </w:rPr>
      </w:pPr>
    </w:p>
    <w:p w:rsidR="008B0722" w:rsidRDefault="008B0722" w:rsidP="008B0722">
      <w:pPr>
        <w:spacing w:after="0"/>
        <w:rPr>
          <w:b/>
        </w:rPr>
      </w:pPr>
      <w:r>
        <w:rPr>
          <w:b/>
        </w:rPr>
        <w:t>Review Date: Sept. 2017</w:t>
      </w:r>
    </w:p>
    <w:p w:rsidR="008B0722" w:rsidRDefault="008B0722" w:rsidP="006E1269">
      <w:pPr>
        <w:rPr>
          <w:b/>
        </w:rPr>
      </w:pPr>
    </w:p>
    <w:p w:rsidR="008B0722" w:rsidRPr="008B0722" w:rsidRDefault="008B0722" w:rsidP="006E1269">
      <w:pPr>
        <w:rPr>
          <w:b/>
        </w:rPr>
      </w:pPr>
    </w:p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6E1269" w:rsidRDefault="006E1269" w:rsidP="00E37C69"/>
    <w:p w:rsidR="00E37C69" w:rsidRPr="00325E7B" w:rsidRDefault="00E37C69" w:rsidP="00E37C69">
      <w:pPr>
        <w:rPr>
          <w:rFonts w:cs="Arial"/>
          <w:b/>
          <w:bCs/>
          <w:sz w:val="24"/>
        </w:rPr>
      </w:pPr>
      <w:r w:rsidRPr="00325E7B">
        <w:rPr>
          <w:rFonts w:cs="Arial"/>
          <w:b/>
          <w:bCs/>
          <w:sz w:val="24"/>
        </w:rPr>
        <w:t>Appendix 1</w:t>
      </w:r>
    </w:p>
    <w:p w:rsidR="00E37C69" w:rsidRPr="00E37C69" w:rsidRDefault="00E37C69" w:rsidP="00E37C6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96762D" w:rsidTr="00AB147C">
        <w:trPr>
          <w:trHeight w:val="1701"/>
        </w:trPr>
        <w:tc>
          <w:tcPr>
            <w:tcW w:w="9242" w:type="dxa"/>
            <w:gridSpan w:val="2"/>
            <w:vAlign w:val="center"/>
          </w:tcPr>
          <w:p w:rsidR="0096762D" w:rsidRPr="0096762D" w:rsidRDefault="0096762D" w:rsidP="0096762D">
            <w:pPr>
              <w:jc w:val="center"/>
              <w:rPr>
                <w:sz w:val="28"/>
              </w:rPr>
            </w:pPr>
            <w:r w:rsidRPr="0096762D">
              <w:rPr>
                <w:b/>
                <w:bCs/>
                <w:sz w:val="28"/>
              </w:rPr>
              <w:t>ASSESSMENT / VERIFICATION PROCESS</w:t>
            </w:r>
          </w:p>
        </w:tc>
      </w:tr>
      <w:tr w:rsidR="0096762D" w:rsidTr="00AB147C">
        <w:trPr>
          <w:trHeight w:val="1701"/>
        </w:trPr>
        <w:tc>
          <w:tcPr>
            <w:tcW w:w="1242" w:type="dxa"/>
            <w:vMerge w:val="restart"/>
            <w:textDirection w:val="btLr"/>
            <w:vAlign w:val="center"/>
          </w:tcPr>
          <w:p w:rsidR="0096762D" w:rsidRPr="0096762D" w:rsidRDefault="0096762D" w:rsidP="009676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Awarding Body</w:t>
            </w:r>
          </w:p>
        </w:tc>
        <w:tc>
          <w:tcPr>
            <w:tcW w:w="8000" w:type="dxa"/>
            <w:vAlign w:val="center"/>
          </w:tcPr>
          <w:p w:rsidR="0096762D" w:rsidRPr="0096762D" w:rsidRDefault="0096762D" w:rsidP="009676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Awarding Body</w:t>
            </w:r>
          </w:p>
        </w:tc>
      </w:tr>
      <w:tr w:rsidR="0096762D" w:rsidTr="00AB147C">
        <w:trPr>
          <w:trHeight w:val="1701"/>
        </w:trPr>
        <w:tc>
          <w:tcPr>
            <w:tcW w:w="1242" w:type="dxa"/>
            <w:vMerge/>
            <w:textDirection w:val="btLr"/>
            <w:vAlign w:val="center"/>
          </w:tcPr>
          <w:p w:rsidR="0096762D" w:rsidRPr="0096762D" w:rsidRDefault="0096762D" w:rsidP="0096762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8000" w:type="dxa"/>
            <w:vAlign w:val="center"/>
          </w:tcPr>
          <w:p w:rsidR="0096762D" w:rsidRPr="0096762D" w:rsidRDefault="0096762D" w:rsidP="009676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External Verification</w:t>
            </w:r>
          </w:p>
        </w:tc>
      </w:tr>
      <w:tr w:rsidR="0096762D" w:rsidTr="00AB147C">
        <w:trPr>
          <w:trHeight w:val="1701"/>
        </w:trPr>
        <w:tc>
          <w:tcPr>
            <w:tcW w:w="1242" w:type="dxa"/>
            <w:vMerge w:val="restart"/>
            <w:textDirection w:val="btLr"/>
            <w:vAlign w:val="center"/>
          </w:tcPr>
          <w:p w:rsidR="0096762D" w:rsidRPr="0096762D" w:rsidRDefault="0096762D" w:rsidP="009676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Manor Green College</w:t>
            </w:r>
          </w:p>
        </w:tc>
        <w:tc>
          <w:tcPr>
            <w:tcW w:w="8000" w:type="dxa"/>
            <w:vAlign w:val="center"/>
          </w:tcPr>
          <w:p w:rsidR="0096762D" w:rsidRPr="0096762D" w:rsidRDefault="0096762D" w:rsidP="009676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Internal Verification</w:t>
            </w:r>
          </w:p>
        </w:tc>
      </w:tr>
      <w:tr w:rsidR="0096762D" w:rsidTr="00AB147C">
        <w:trPr>
          <w:trHeight w:val="1701"/>
        </w:trPr>
        <w:tc>
          <w:tcPr>
            <w:tcW w:w="1242" w:type="dxa"/>
            <w:vMerge/>
            <w:textDirection w:val="btLr"/>
            <w:vAlign w:val="center"/>
          </w:tcPr>
          <w:p w:rsidR="0096762D" w:rsidRPr="0096762D" w:rsidRDefault="0096762D" w:rsidP="0096762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8000" w:type="dxa"/>
            <w:vAlign w:val="center"/>
          </w:tcPr>
          <w:p w:rsidR="0096762D" w:rsidRPr="0096762D" w:rsidRDefault="0096762D" w:rsidP="009676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</w:tc>
      </w:tr>
      <w:tr w:rsidR="0096762D" w:rsidTr="00AB147C">
        <w:trPr>
          <w:cantSplit/>
          <w:trHeight w:val="1701"/>
        </w:trPr>
        <w:tc>
          <w:tcPr>
            <w:tcW w:w="1242" w:type="dxa"/>
            <w:textDirection w:val="btLr"/>
            <w:vAlign w:val="center"/>
          </w:tcPr>
          <w:p w:rsidR="0096762D" w:rsidRPr="0096762D" w:rsidRDefault="0096762D" w:rsidP="0096762D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Student</w:t>
            </w:r>
          </w:p>
        </w:tc>
        <w:tc>
          <w:tcPr>
            <w:tcW w:w="8000" w:type="dxa"/>
            <w:vAlign w:val="center"/>
          </w:tcPr>
          <w:p w:rsidR="0096762D" w:rsidRPr="0096762D" w:rsidRDefault="0096762D" w:rsidP="009676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Student Performance</w:t>
            </w:r>
          </w:p>
        </w:tc>
      </w:tr>
    </w:tbl>
    <w:p w:rsidR="0096762D" w:rsidRDefault="0096762D" w:rsidP="00E37C69"/>
    <w:p w:rsidR="0096762D" w:rsidRDefault="0096762D" w:rsidP="00E37C69"/>
    <w:p w:rsidR="0096762D" w:rsidRDefault="0096762D" w:rsidP="00E37C69"/>
    <w:p w:rsidR="0096762D" w:rsidRDefault="0096762D" w:rsidP="00E37C69"/>
    <w:p w:rsidR="0096762D" w:rsidRDefault="0096762D" w:rsidP="00E37C69"/>
    <w:p w:rsidR="00E37C69" w:rsidRPr="00325E7B" w:rsidRDefault="00F86EDE" w:rsidP="00E37C69">
      <w:pPr>
        <w:rPr>
          <w:rFonts w:cs="Arial"/>
          <w:b/>
          <w:bCs/>
          <w:sz w:val="24"/>
        </w:rPr>
      </w:pPr>
      <w:r w:rsidRPr="00325E7B">
        <w:rPr>
          <w:rFonts w:cs="Arial"/>
          <w:b/>
          <w:bCs/>
          <w:sz w:val="24"/>
        </w:rPr>
        <w:t>A</w:t>
      </w:r>
      <w:r w:rsidR="00E37C69" w:rsidRPr="00325E7B">
        <w:rPr>
          <w:rFonts w:cs="Arial"/>
          <w:b/>
          <w:bCs/>
          <w:sz w:val="24"/>
        </w:rPr>
        <w:t>ppendix 2</w:t>
      </w:r>
    </w:p>
    <w:p w:rsidR="00E37C69" w:rsidRDefault="00E37C69" w:rsidP="00E37C69">
      <w:pPr>
        <w:rPr>
          <w:rFonts w:cs="Arial"/>
          <w:b/>
          <w:bCs/>
        </w:rPr>
      </w:pPr>
      <w:r w:rsidRPr="00E37C69">
        <w:rPr>
          <w:rFonts w:cs="Arial"/>
          <w:b/>
          <w:bCs/>
        </w:rPr>
        <w:t>Candidate Appeal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86EDE" w:rsidTr="00F86EDE">
        <w:tc>
          <w:tcPr>
            <w:tcW w:w="3080" w:type="dxa"/>
          </w:tcPr>
          <w:p w:rsidR="00F86EDE" w:rsidRDefault="00F86EDE" w:rsidP="00E37C6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Candidate Name:</w:t>
            </w:r>
          </w:p>
        </w:tc>
        <w:tc>
          <w:tcPr>
            <w:tcW w:w="3081" w:type="dxa"/>
          </w:tcPr>
          <w:p w:rsidR="00F86EDE" w:rsidRDefault="00F86EDE" w:rsidP="00E37C6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Assessor Name:</w:t>
            </w:r>
          </w:p>
        </w:tc>
        <w:tc>
          <w:tcPr>
            <w:tcW w:w="3081" w:type="dxa"/>
          </w:tcPr>
          <w:p w:rsidR="00F86EDE" w:rsidRDefault="00F86EDE" w:rsidP="00E37C6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Internal Verifier Name:</w:t>
            </w:r>
          </w:p>
          <w:p w:rsidR="00F86EDE" w:rsidRDefault="00F86EDE" w:rsidP="00E37C69">
            <w:pPr>
              <w:rPr>
                <w:rFonts w:cs="Arial"/>
                <w:b/>
                <w:bCs/>
              </w:rPr>
            </w:pPr>
          </w:p>
          <w:p w:rsidR="00F86EDE" w:rsidRDefault="00F86EDE" w:rsidP="00E37C69">
            <w:pPr>
              <w:rPr>
                <w:rFonts w:cs="Arial"/>
                <w:b/>
                <w:bCs/>
              </w:rPr>
            </w:pPr>
          </w:p>
        </w:tc>
      </w:tr>
    </w:tbl>
    <w:p w:rsidR="00F86EDE" w:rsidRPr="00E37C69" w:rsidRDefault="00F86EDE" w:rsidP="00E37C69">
      <w:pPr>
        <w:rPr>
          <w:rFonts w:cs="Arial"/>
          <w:b/>
          <w:bCs/>
        </w:rPr>
      </w:pPr>
    </w:p>
    <w:p w:rsidR="00E37C69" w:rsidRDefault="00E37C69" w:rsidP="00E37C69">
      <w:pPr>
        <w:rPr>
          <w:b/>
          <w:bCs/>
        </w:rPr>
      </w:pPr>
      <w:r w:rsidRPr="00E37C69">
        <w:rPr>
          <w:b/>
          <w:bCs/>
        </w:rPr>
        <w:t>Stage 1 Assessor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6EDE" w:rsidTr="00F86EDE">
        <w:tc>
          <w:tcPr>
            <w:tcW w:w="9242" w:type="dxa"/>
          </w:tcPr>
          <w:p w:rsidR="00F86EDE" w:rsidRDefault="00F86EDE" w:rsidP="00F86EDE">
            <w:pPr>
              <w:rPr>
                <w:b/>
                <w:bCs/>
              </w:rPr>
            </w:pPr>
            <w:r w:rsidRPr="00E37C69">
              <w:rPr>
                <w:b/>
                <w:bCs/>
              </w:rPr>
              <w:t>Assessment Details</w:t>
            </w:r>
          </w:p>
          <w:p w:rsidR="00F86EDE" w:rsidRPr="00E37C69" w:rsidRDefault="00F86EDE" w:rsidP="00F86EDE">
            <w:pPr>
              <w:rPr>
                <w:b/>
                <w:bCs/>
              </w:rPr>
            </w:pPr>
          </w:p>
          <w:p w:rsidR="00F86EDE" w:rsidRDefault="00F86EDE" w:rsidP="00F86EDE">
            <w:r w:rsidRPr="00E37C69">
              <w:t>Course:</w:t>
            </w:r>
          </w:p>
          <w:p w:rsidR="00F86EDE" w:rsidRPr="00E37C69" w:rsidRDefault="00F86EDE" w:rsidP="00F86EDE"/>
          <w:p w:rsidR="00F86EDE" w:rsidRDefault="00F86EDE" w:rsidP="00F86EDE">
            <w:r w:rsidRPr="00E37C69">
              <w:t>Unit / Learning Outcome:</w:t>
            </w:r>
          </w:p>
          <w:p w:rsidR="00F86EDE" w:rsidRPr="00E37C69" w:rsidRDefault="00F86EDE" w:rsidP="00F86EDE"/>
          <w:p w:rsidR="00F86EDE" w:rsidRDefault="00F86EDE" w:rsidP="00F86EDE">
            <w:r w:rsidRPr="00E37C69">
              <w:t>Assessment Method:</w:t>
            </w:r>
          </w:p>
          <w:p w:rsidR="00F86EDE" w:rsidRPr="00E37C69" w:rsidRDefault="00F86EDE" w:rsidP="00F86EDE"/>
          <w:p w:rsidR="00F86EDE" w:rsidRPr="00E37C69" w:rsidRDefault="00F86EDE" w:rsidP="00F86EDE">
            <w:r w:rsidRPr="00E37C69">
              <w:t>Original Assessment Decision:</w:t>
            </w:r>
          </w:p>
          <w:p w:rsidR="00F86EDE" w:rsidRDefault="00F86EDE" w:rsidP="00E37C69">
            <w:pPr>
              <w:rPr>
                <w:b/>
                <w:bCs/>
              </w:rPr>
            </w:pPr>
          </w:p>
        </w:tc>
      </w:tr>
      <w:tr w:rsidR="00F86EDE" w:rsidTr="00F86EDE">
        <w:tc>
          <w:tcPr>
            <w:tcW w:w="9242" w:type="dxa"/>
          </w:tcPr>
          <w:p w:rsidR="00F86EDE" w:rsidRDefault="00F86EDE" w:rsidP="00F86EDE">
            <w:r w:rsidRPr="00E37C69">
              <w:t>Candidate’s Reason For Appeal:</w:t>
            </w:r>
          </w:p>
          <w:p w:rsidR="00F86EDE" w:rsidRDefault="00F86EDE" w:rsidP="00F86EDE"/>
          <w:p w:rsidR="00F86EDE" w:rsidRPr="00E37C69" w:rsidRDefault="00F86EDE" w:rsidP="00F86EDE"/>
          <w:p w:rsidR="00F86EDE" w:rsidRDefault="00F86EDE" w:rsidP="00E37C69">
            <w:pPr>
              <w:rPr>
                <w:b/>
                <w:bCs/>
              </w:rPr>
            </w:pPr>
          </w:p>
        </w:tc>
      </w:tr>
      <w:tr w:rsidR="00F86EDE" w:rsidTr="00F86EDE">
        <w:tc>
          <w:tcPr>
            <w:tcW w:w="9242" w:type="dxa"/>
          </w:tcPr>
          <w:p w:rsidR="00F86EDE" w:rsidRPr="00E37C69" w:rsidRDefault="00F86EDE" w:rsidP="00F86EDE">
            <w:r w:rsidRPr="00E37C69">
              <w:t>Candidate’s Signature:</w:t>
            </w:r>
          </w:p>
          <w:p w:rsidR="00F86EDE" w:rsidRDefault="00F86EDE" w:rsidP="00F86EDE"/>
          <w:p w:rsidR="00F86EDE" w:rsidRDefault="00F86EDE" w:rsidP="00F86EDE">
            <w:pPr>
              <w:rPr>
                <w:b/>
                <w:bCs/>
              </w:rPr>
            </w:pPr>
            <w:r w:rsidRPr="00E37C69">
              <w:t>Date:</w:t>
            </w:r>
          </w:p>
        </w:tc>
      </w:tr>
    </w:tbl>
    <w:p w:rsidR="00F86EDE" w:rsidRDefault="00F86EDE" w:rsidP="00E37C6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6EDE" w:rsidTr="00F86EDE">
        <w:tc>
          <w:tcPr>
            <w:tcW w:w="4621" w:type="dxa"/>
          </w:tcPr>
          <w:p w:rsidR="00F86EDE" w:rsidRDefault="00F86EDE" w:rsidP="00E37C69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F86EDE" w:rsidRPr="00F86EDE" w:rsidRDefault="00F86EDE" w:rsidP="00E37C69">
            <w:pPr>
              <w:rPr>
                <w:i/>
                <w:iCs/>
              </w:rPr>
            </w:pPr>
            <w:r w:rsidRPr="00E37C69">
              <w:rPr>
                <w:i/>
                <w:iCs/>
              </w:rPr>
              <w:t xml:space="preserve">This column </w:t>
            </w:r>
            <w:r>
              <w:rPr>
                <w:i/>
                <w:iCs/>
              </w:rPr>
              <w:t>to be completed by Centre staff</w:t>
            </w:r>
          </w:p>
        </w:tc>
      </w:tr>
      <w:tr w:rsidR="00F86EDE" w:rsidTr="00F86EDE">
        <w:tc>
          <w:tcPr>
            <w:tcW w:w="4621" w:type="dxa"/>
          </w:tcPr>
          <w:p w:rsidR="00F86EDE" w:rsidRDefault="00F86EDE" w:rsidP="00F86EDE">
            <w:r w:rsidRPr="00E37C69">
              <w:t>Assessor’s Decision:</w:t>
            </w:r>
          </w:p>
          <w:p w:rsidR="00F86EDE" w:rsidRPr="00E37C69" w:rsidRDefault="00F86EDE" w:rsidP="00F86EDE"/>
          <w:p w:rsidR="00F86EDE" w:rsidRDefault="00F86EDE" w:rsidP="00F86EDE">
            <w:r w:rsidRPr="00E37C69">
              <w:t>Signature:</w:t>
            </w:r>
          </w:p>
          <w:p w:rsidR="00F86EDE" w:rsidRPr="00E37C69" w:rsidRDefault="00F86EDE" w:rsidP="00F86EDE"/>
          <w:p w:rsidR="00F86EDE" w:rsidRPr="00E37C69" w:rsidRDefault="00F86EDE" w:rsidP="00F86EDE">
            <w:r w:rsidRPr="00E37C69">
              <w:t>Date:</w:t>
            </w:r>
          </w:p>
          <w:p w:rsidR="00F86EDE" w:rsidRDefault="00F86EDE" w:rsidP="00E37C69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F86EDE" w:rsidRDefault="00F86EDE" w:rsidP="00F86EDE">
            <w:r w:rsidRPr="00E37C69">
              <w:t>Date Appeal received:</w:t>
            </w:r>
          </w:p>
          <w:p w:rsidR="00F86EDE" w:rsidRPr="00E37C69" w:rsidRDefault="00F86EDE" w:rsidP="00F86EDE"/>
          <w:p w:rsidR="00F86EDE" w:rsidRDefault="00F86EDE" w:rsidP="00F86EDE">
            <w:r w:rsidRPr="00E37C69">
              <w:t>Date replied to Candidate:</w:t>
            </w:r>
          </w:p>
          <w:p w:rsidR="00F86EDE" w:rsidRPr="00E37C69" w:rsidRDefault="00F86EDE" w:rsidP="00F86EDE"/>
          <w:p w:rsidR="00F86EDE" w:rsidRDefault="00F86EDE" w:rsidP="00F86EDE">
            <w:r w:rsidRPr="00E37C69">
              <w:t>Signature:</w:t>
            </w:r>
          </w:p>
          <w:p w:rsidR="00F86EDE" w:rsidRPr="00E37C69" w:rsidRDefault="00F86EDE" w:rsidP="00F86EDE"/>
          <w:p w:rsidR="00F86EDE" w:rsidRPr="00E37C69" w:rsidRDefault="00F86EDE" w:rsidP="00F86EDE">
            <w:r w:rsidRPr="00E37C69">
              <w:t>Date:</w:t>
            </w:r>
          </w:p>
          <w:p w:rsidR="00F86EDE" w:rsidRDefault="00F86EDE" w:rsidP="00E37C69">
            <w:pPr>
              <w:rPr>
                <w:b/>
                <w:bCs/>
              </w:rPr>
            </w:pPr>
          </w:p>
        </w:tc>
      </w:tr>
    </w:tbl>
    <w:p w:rsidR="00F86EDE" w:rsidRDefault="00F86EDE" w:rsidP="00E37C6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6EDE" w:rsidTr="00F86EDE">
        <w:tc>
          <w:tcPr>
            <w:tcW w:w="4621" w:type="dxa"/>
          </w:tcPr>
          <w:p w:rsidR="00F86EDE" w:rsidRDefault="00F86EDE" w:rsidP="00F86EDE">
            <w:r w:rsidRPr="00E37C69">
              <w:t>Candidate’s Decision</w:t>
            </w:r>
          </w:p>
          <w:p w:rsidR="00CB67C6" w:rsidRPr="00E37C69" w:rsidRDefault="00CB67C6" w:rsidP="00F86EDE"/>
          <w:p w:rsidR="00F86EDE" w:rsidRPr="00E37C69" w:rsidRDefault="00F86EDE" w:rsidP="00F86EDE">
            <w:pPr>
              <w:rPr>
                <w:rFonts w:eastAsia="SymbolMT" w:cs="SymbolMT"/>
              </w:rPr>
            </w:pPr>
            <w:r w:rsidRPr="00E37C69">
              <w:t xml:space="preserve">I accept the Assessor’s decision </w:t>
            </w:r>
            <w:r w:rsidRPr="00E37C69">
              <w:rPr>
                <w:rFonts w:ascii="Calibri" w:eastAsia="Arial Unicode MS" w:hAnsi="Calibri" w:cs="Calibri"/>
              </w:rPr>
              <w:t>􀀀</w:t>
            </w:r>
          </w:p>
          <w:p w:rsidR="00F86EDE" w:rsidRDefault="00F86EDE" w:rsidP="00F86EDE">
            <w:pPr>
              <w:rPr>
                <w:rFonts w:ascii="Calibri" w:eastAsia="Arial Unicode MS" w:hAnsi="Calibri" w:cs="Calibri"/>
              </w:rPr>
            </w:pPr>
            <w:r w:rsidRPr="00E37C69">
              <w:t xml:space="preserve">I wish to proceed to Stage 2 </w:t>
            </w:r>
            <w:r w:rsidRPr="00E37C69">
              <w:rPr>
                <w:rFonts w:ascii="Calibri" w:eastAsia="Arial Unicode MS" w:hAnsi="Calibri" w:cs="Calibri"/>
              </w:rPr>
              <w:t>􀀀</w:t>
            </w:r>
          </w:p>
          <w:p w:rsidR="00CB67C6" w:rsidRPr="00E37C69" w:rsidRDefault="00CB67C6" w:rsidP="00F86EDE">
            <w:pPr>
              <w:rPr>
                <w:rFonts w:eastAsia="SymbolMT" w:cs="SymbolMT"/>
              </w:rPr>
            </w:pPr>
          </w:p>
          <w:p w:rsidR="00F86EDE" w:rsidRDefault="00F86EDE" w:rsidP="00F86EDE">
            <w:r w:rsidRPr="00E37C69">
              <w:t>Signature:</w:t>
            </w:r>
          </w:p>
          <w:p w:rsidR="00CB67C6" w:rsidRDefault="00CB67C6" w:rsidP="00F86EDE"/>
          <w:p w:rsidR="00F86EDE" w:rsidRPr="00E37C69" w:rsidRDefault="00F86EDE" w:rsidP="00F86EDE">
            <w:r>
              <w:t>Date:</w:t>
            </w:r>
          </w:p>
          <w:p w:rsidR="00F86EDE" w:rsidRDefault="00F86EDE" w:rsidP="00E37C69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F86EDE" w:rsidRDefault="00F86EDE" w:rsidP="00F86EDE">
            <w:r w:rsidRPr="00E37C69">
              <w:t>Date reply received:</w:t>
            </w:r>
          </w:p>
          <w:p w:rsidR="00CB67C6" w:rsidRPr="00E37C69" w:rsidRDefault="00CB67C6" w:rsidP="00F86EDE"/>
          <w:p w:rsidR="00F86EDE" w:rsidRPr="00E37C69" w:rsidRDefault="00F86EDE" w:rsidP="00F86EDE">
            <w:r w:rsidRPr="00E37C69">
              <w:t>Date forwarded to Internal</w:t>
            </w:r>
          </w:p>
          <w:p w:rsidR="00F86EDE" w:rsidRDefault="00F86EDE" w:rsidP="00F86EDE">
            <w:r w:rsidRPr="00E37C69">
              <w:t>Verifier:</w:t>
            </w:r>
          </w:p>
          <w:p w:rsidR="00CB67C6" w:rsidRPr="00E37C69" w:rsidRDefault="00CB67C6" w:rsidP="00F86EDE"/>
          <w:p w:rsidR="00F86EDE" w:rsidRDefault="00F86EDE" w:rsidP="00F86EDE">
            <w:r w:rsidRPr="00E37C69">
              <w:t>Signature:</w:t>
            </w:r>
          </w:p>
          <w:p w:rsidR="00CB67C6" w:rsidRPr="00E37C69" w:rsidRDefault="00CB67C6" w:rsidP="00F86EDE"/>
          <w:p w:rsidR="00F86EDE" w:rsidRPr="00E37C69" w:rsidRDefault="00F86EDE" w:rsidP="00F86EDE">
            <w:r w:rsidRPr="00E37C69">
              <w:t>Date:</w:t>
            </w:r>
          </w:p>
          <w:p w:rsidR="00F86EDE" w:rsidRDefault="00F86EDE" w:rsidP="00E37C69">
            <w:pPr>
              <w:rPr>
                <w:b/>
                <w:bCs/>
              </w:rPr>
            </w:pPr>
          </w:p>
        </w:tc>
      </w:tr>
    </w:tbl>
    <w:p w:rsidR="00F86EDE" w:rsidRPr="00E37C69" w:rsidRDefault="00F86EDE" w:rsidP="00E37C69">
      <w:pPr>
        <w:rPr>
          <w:b/>
          <w:bCs/>
        </w:rPr>
      </w:pPr>
    </w:p>
    <w:p w:rsidR="00E37C69" w:rsidRDefault="00E37C69" w:rsidP="00E37C69">
      <w:pPr>
        <w:rPr>
          <w:b/>
          <w:bCs/>
        </w:rPr>
      </w:pPr>
      <w:r w:rsidRPr="00E37C69">
        <w:rPr>
          <w:b/>
          <w:bCs/>
        </w:rPr>
        <w:t>Stage 2 Internal Verifier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B67C6" w:rsidTr="0051539F">
        <w:tc>
          <w:tcPr>
            <w:tcW w:w="9242" w:type="dxa"/>
            <w:gridSpan w:val="2"/>
          </w:tcPr>
          <w:p w:rsidR="00325E7B" w:rsidRPr="00E37C69" w:rsidRDefault="00325E7B" w:rsidP="00325E7B">
            <w:r w:rsidRPr="00E37C69">
              <w:t>Internal Verifier’s Comments:</w:t>
            </w:r>
          </w:p>
          <w:p w:rsidR="00CB67C6" w:rsidRDefault="00CB67C6" w:rsidP="00E37C69">
            <w:pPr>
              <w:rPr>
                <w:b/>
                <w:bCs/>
              </w:rPr>
            </w:pPr>
          </w:p>
        </w:tc>
      </w:tr>
      <w:tr w:rsidR="00CB67C6" w:rsidTr="00CB67C6">
        <w:tc>
          <w:tcPr>
            <w:tcW w:w="4621" w:type="dxa"/>
          </w:tcPr>
          <w:p w:rsidR="00325E7B" w:rsidRDefault="00325E7B" w:rsidP="00325E7B">
            <w:r w:rsidRPr="00E37C69">
              <w:t>Internal Verifier/Moderator Decision:</w:t>
            </w:r>
          </w:p>
          <w:p w:rsidR="00325E7B" w:rsidRDefault="00325E7B" w:rsidP="00325E7B"/>
          <w:p w:rsidR="00325E7B" w:rsidRPr="00E37C69" w:rsidRDefault="00325E7B" w:rsidP="00325E7B"/>
          <w:p w:rsidR="00325E7B" w:rsidRDefault="00325E7B" w:rsidP="00325E7B">
            <w:r w:rsidRPr="00E37C69">
              <w:t>Signature:</w:t>
            </w:r>
          </w:p>
          <w:p w:rsidR="00325E7B" w:rsidRPr="00E37C69" w:rsidRDefault="00325E7B" w:rsidP="00325E7B"/>
          <w:p w:rsidR="00325E7B" w:rsidRPr="00E37C69" w:rsidRDefault="00325E7B" w:rsidP="00325E7B">
            <w:r w:rsidRPr="00E37C69">
              <w:t>Date:</w:t>
            </w:r>
          </w:p>
          <w:p w:rsidR="00CB67C6" w:rsidRDefault="00CB67C6" w:rsidP="00E37C69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25E7B" w:rsidRDefault="00325E7B" w:rsidP="00325E7B">
            <w:r w:rsidRPr="00E37C69">
              <w:t>Date Candidate informed:</w:t>
            </w:r>
          </w:p>
          <w:p w:rsidR="00325E7B" w:rsidRPr="00E37C69" w:rsidRDefault="00325E7B" w:rsidP="00325E7B"/>
          <w:p w:rsidR="00325E7B" w:rsidRDefault="00325E7B" w:rsidP="00325E7B">
            <w:r w:rsidRPr="00E37C69">
              <w:t>Signature:</w:t>
            </w:r>
          </w:p>
          <w:p w:rsidR="00325E7B" w:rsidRPr="00E37C69" w:rsidRDefault="00325E7B" w:rsidP="00325E7B"/>
          <w:p w:rsidR="00325E7B" w:rsidRPr="00E37C69" w:rsidRDefault="00325E7B" w:rsidP="00325E7B">
            <w:r w:rsidRPr="00E37C69">
              <w:t>Date:</w:t>
            </w:r>
          </w:p>
          <w:p w:rsidR="00CB67C6" w:rsidRDefault="00CB67C6" w:rsidP="00E37C69">
            <w:pPr>
              <w:rPr>
                <w:b/>
                <w:bCs/>
              </w:rPr>
            </w:pPr>
          </w:p>
        </w:tc>
      </w:tr>
      <w:tr w:rsidR="00CB67C6" w:rsidTr="00CB67C6">
        <w:tc>
          <w:tcPr>
            <w:tcW w:w="4621" w:type="dxa"/>
          </w:tcPr>
          <w:p w:rsidR="00325E7B" w:rsidRDefault="00325E7B" w:rsidP="00325E7B">
            <w:r w:rsidRPr="00E37C69">
              <w:t>Candidate Decision</w:t>
            </w:r>
          </w:p>
          <w:p w:rsidR="00325E7B" w:rsidRPr="00E37C69" w:rsidRDefault="00325E7B" w:rsidP="00325E7B"/>
          <w:p w:rsidR="00325E7B" w:rsidRDefault="00325E7B" w:rsidP="00325E7B">
            <w:pPr>
              <w:rPr>
                <w:rFonts w:ascii="Calibri" w:eastAsia="Arial Unicode MS" w:hAnsi="Calibri" w:cs="Calibri"/>
              </w:rPr>
            </w:pPr>
            <w:r w:rsidRPr="00E37C69">
              <w:t xml:space="preserve">I accept the IV decision </w:t>
            </w:r>
            <w:r w:rsidRPr="00E37C69">
              <w:rPr>
                <w:rFonts w:ascii="Calibri" w:eastAsia="Arial Unicode MS" w:hAnsi="Calibri" w:cs="Calibri"/>
              </w:rPr>
              <w:t>􀀀</w:t>
            </w:r>
          </w:p>
          <w:p w:rsidR="00325E7B" w:rsidRPr="00E37C69" w:rsidRDefault="00325E7B" w:rsidP="00325E7B">
            <w:pPr>
              <w:rPr>
                <w:rFonts w:eastAsia="SymbolMT" w:cs="SymbolMT"/>
              </w:rPr>
            </w:pPr>
          </w:p>
          <w:p w:rsidR="00325E7B" w:rsidRPr="00E37C69" w:rsidRDefault="00325E7B" w:rsidP="00325E7B">
            <w:pPr>
              <w:rPr>
                <w:rFonts w:eastAsia="SymbolMT" w:cs="SymbolMT"/>
              </w:rPr>
            </w:pPr>
            <w:r w:rsidRPr="00E37C69">
              <w:t xml:space="preserve">I wish to proceed to Stage 3 </w:t>
            </w:r>
            <w:r w:rsidRPr="00E37C69">
              <w:rPr>
                <w:rFonts w:ascii="Calibri" w:eastAsia="Arial Unicode MS" w:hAnsi="Calibri" w:cs="Calibri"/>
              </w:rPr>
              <w:t>􀀀</w:t>
            </w:r>
          </w:p>
          <w:p w:rsidR="00CB67C6" w:rsidRDefault="00CB67C6" w:rsidP="00E37C69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25E7B" w:rsidRDefault="00325E7B" w:rsidP="00325E7B">
            <w:r w:rsidRPr="00E37C69">
              <w:t>Date reply received:</w:t>
            </w:r>
          </w:p>
          <w:p w:rsidR="00325E7B" w:rsidRPr="00E37C69" w:rsidRDefault="00325E7B" w:rsidP="00325E7B"/>
          <w:p w:rsidR="00325E7B" w:rsidRDefault="00325E7B" w:rsidP="00325E7B">
            <w:r w:rsidRPr="00E37C69">
              <w:t>Date forwarded to Awarding Body:</w:t>
            </w:r>
          </w:p>
          <w:p w:rsidR="00325E7B" w:rsidRPr="00E37C69" w:rsidRDefault="00325E7B" w:rsidP="00325E7B"/>
          <w:p w:rsidR="00325E7B" w:rsidRPr="00E37C69" w:rsidRDefault="00325E7B" w:rsidP="00325E7B">
            <w:r w:rsidRPr="00E37C69">
              <w:t>Signature:</w:t>
            </w:r>
          </w:p>
          <w:p w:rsidR="00CB67C6" w:rsidRDefault="00CB67C6" w:rsidP="00E37C69">
            <w:pPr>
              <w:rPr>
                <w:b/>
                <w:bCs/>
              </w:rPr>
            </w:pPr>
          </w:p>
        </w:tc>
      </w:tr>
    </w:tbl>
    <w:p w:rsidR="00CB67C6" w:rsidRPr="00E37C69" w:rsidRDefault="00CB67C6" w:rsidP="00E37C69">
      <w:pPr>
        <w:rPr>
          <w:b/>
          <w:bCs/>
        </w:rPr>
      </w:pPr>
    </w:p>
    <w:p w:rsidR="00E37C69" w:rsidRDefault="00E37C69" w:rsidP="00E37C69">
      <w:pPr>
        <w:rPr>
          <w:b/>
          <w:bCs/>
        </w:rPr>
      </w:pPr>
      <w:r w:rsidRPr="00E37C69">
        <w:rPr>
          <w:b/>
          <w:bCs/>
        </w:rPr>
        <w:t>Stage 3 Awarding Body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5E7B" w:rsidTr="006C679D">
        <w:tc>
          <w:tcPr>
            <w:tcW w:w="9242" w:type="dxa"/>
            <w:gridSpan w:val="2"/>
          </w:tcPr>
          <w:p w:rsidR="00325E7B" w:rsidRPr="00E37C69" w:rsidRDefault="00325E7B" w:rsidP="00325E7B">
            <w:r w:rsidRPr="00E37C69">
              <w:t>Awarding Body Decision</w:t>
            </w:r>
          </w:p>
          <w:p w:rsidR="00325E7B" w:rsidRDefault="00325E7B" w:rsidP="00E37C69">
            <w:pPr>
              <w:rPr>
                <w:b/>
                <w:bCs/>
              </w:rPr>
            </w:pPr>
          </w:p>
          <w:p w:rsidR="00325E7B" w:rsidRDefault="00325E7B" w:rsidP="00E37C69">
            <w:pPr>
              <w:rPr>
                <w:b/>
                <w:bCs/>
              </w:rPr>
            </w:pPr>
          </w:p>
        </w:tc>
      </w:tr>
      <w:tr w:rsidR="00325E7B" w:rsidTr="00325E7B">
        <w:tc>
          <w:tcPr>
            <w:tcW w:w="4621" w:type="dxa"/>
          </w:tcPr>
          <w:p w:rsidR="00325E7B" w:rsidRDefault="00325E7B" w:rsidP="00325E7B">
            <w:r w:rsidRPr="00E37C69">
              <w:t>Date Appeal Decision received:</w:t>
            </w:r>
          </w:p>
          <w:p w:rsidR="00325E7B" w:rsidRPr="00E37C69" w:rsidRDefault="00325E7B" w:rsidP="00325E7B"/>
          <w:p w:rsidR="00325E7B" w:rsidRPr="00E37C69" w:rsidRDefault="00325E7B" w:rsidP="00325E7B">
            <w:r w:rsidRPr="00E37C69">
              <w:t>Date Candidate informed:</w:t>
            </w:r>
          </w:p>
          <w:p w:rsidR="00325E7B" w:rsidRDefault="00325E7B" w:rsidP="00E37C69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25E7B" w:rsidRDefault="00325E7B" w:rsidP="00325E7B">
            <w:r w:rsidRPr="00E37C69">
              <w:t>Name:</w:t>
            </w:r>
          </w:p>
          <w:p w:rsidR="00325E7B" w:rsidRPr="00E37C69" w:rsidRDefault="00325E7B" w:rsidP="00325E7B"/>
          <w:p w:rsidR="00325E7B" w:rsidRDefault="00325E7B" w:rsidP="00325E7B">
            <w:r w:rsidRPr="00E37C69">
              <w:t>Signature:</w:t>
            </w:r>
          </w:p>
          <w:p w:rsidR="00325E7B" w:rsidRPr="00E37C69" w:rsidRDefault="00325E7B" w:rsidP="00325E7B"/>
          <w:p w:rsidR="00325E7B" w:rsidRPr="00E37C69" w:rsidRDefault="00325E7B" w:rsidP="00325E7B">
            <w:r w:rsidRPr="00E37C69">
              <w:t>Date:</w:t>
            </w:r>
          </w:p>
          <w:p w:rsidR="00325E7B" w:rsidRDefault="00325E7B" w:rsidP="00E37C69">
            <w:pPr>
              <w:rPr>
                <w:b/>
                <w:bCs/>
              </w:rPr>
            </w:pPr>
          </w:p>
        </w:tc>
      </w:tr>
      <w:tr w:rsidR="00325E7B" w:rsidTr="00325E7B">
        <w:tc>
          <w:tcPr>
            <w:tcW w:w="4621" w:type="dxa"/>
          </w:tcPr>
          <w:p w:rsidR="00325E7B" w:rsidRDefault="00325E7B" w:rsidP="00325E7B">
            <w:r w:rsidRPr="00E37C69">
              <w:lastRenderedPageBreak/>
              <w:t>Candidate Response</w:t>
            </w:r>
          </w:p>
          <w:p w:rsidR="00325E7B" w:rsidRPr="00E37C69" w:rsidRDefault="00325E7B" w:rsidP="00325E7B"/>
          <w:p w:rsidR="00325E7B" w:rsidRPr="00E37C69" w:rsidRDefault="00325E7B" w:rsidP="00325E7B">
            <w:r w:rsidRPr="00E37C69">
              <w:t>I have received the decision of the</w:t>
            </w:r>
          </w:p>
          <w:p w:rsidR="00325E7B" w:rsidRDefault="00325E7B" w:rsidP="00325E7B">
            <w:r w:rsidRPr="00E37C69">
              <w:t>Awarding Body</w:t>
            </w:r>
          </w:p>
          <w:p w:rsidR="00325E7B" w:rsidRPr="00E37C69" w:rsidRDefault="00325E7B" w:rsidP="00325E7B"/>
          <w:p w:rsidR="00325E7B" w:rsidRDefault="00325E7B" w:rsidP="00325E7B">
            <w:r w:rsidRPr="00E37C69">
              <w:t>Signature:</w:t>
            </w:r>
          </w:p>
          <w:p w:rsidR="00325E7B" w:rsidRPr="00E37C69" w:rsidRDefault="00325E7B" w:rsidP="00325E7B"/>
          <w:p w:rsidR="00325E7B" w:rsidRPr="00E37C69" w:rsidRDefault="00325E7B" w:rsidP="00325E7B">
            <w:r w:rsidRPr="00E37C69">
              <w:t>Date:</w:t>
            </w:r>
          </w:p>
          <w:p w:rsidR="00325E7B" w:rsidRDefault="00325E7B" w:rsidP="00E37C69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25E7B" w:rsidRDefault="00325E7B" w:rsidP="00325E7B">
            <w:r w:rsidRPr="00E37C69">
              <w:t>Date reply received:</w:t>
            </w:r>
          </w:p>
          <w:p w:rsidR="00325E7B" w:rsidRPr="00E37C69" w:rsidRDefault="00325E7B" w:rsidP="00325E7B"/>
          <w:p w:rsidR="00325E7B" w:rsidRDefault="00325E7B" w:rsidP="00325E7B">
            <w:r w:rsidRPr="00E37C69">
              <w:t>Signature:</w:t>
            </w:r>
          </w:p>
          <w:p w:rsidR="00325E7B" w:rsidRPr="00E37C69" w:rsidRDefault="00325E7B" w:rsidP="00325E7B"/>
          <w:p w:rsidR="00325E7B" w:rsidRPr="00E37C69" w:rsidRDefault="00325E7B" w:rsidP="00325E7B">
            <w:r w:rsidRPr="00E37C69">
              <w:t>Date:</w:t>
            </w:r>
          </w:p>
          <w:p w:rsidR="00325E7B" w:rsidRDefault="00325E7B" w:rsidP="00E37C69">
            <w:pPr>
              <w:rPr>
                <w:b/>
                <w:bCs/>
              </w:rPr>
            </w:pPr>
          </w:p>
        </w:tc>
      </w:tr>
    </w:tbl>
    <w:p w:rsidR="00325E7B" w:rsidRDefault="00325E7B" w:rsidP="00E37C69">
      <w:pPr>
        <w:rPr>
          <w:b/>
          <w:bCs/>
        </w:rPr>
      </w:pPr>
    </w:p>
    <w:p w:rsidR="00325E7B" w:rsidRPr="00E37C69" w:rsidRDefault="00325E7B" w:rsidP="00E37C69">
      <w:pPr>
        <w:rPr>
          <w:b/>
          <w:bCs/>
        </w:rPr>
      </w:pPr>
    </w:p>
    <w:sectPr w:rsidR="00325E7B" w:rsidRPr="00E37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FDB"/>
    <w:multiLevelType w:val="hybridMultilevel"/>
    <w:tmpl w:val="FE2E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C21"/>
    <w:multiLevelType w:val="hybridMultilevel"/>
    <w:tmpl w:val="5A08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67B2"/>
    <w:multiLevelType w:val="hybridMultilevel"/>
    <w:tmpl w:val="C41E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82E06"/>
    <w:multiLevelType w:val="hybridMultilevel"/>
    <w:tmpl w:val="8F0E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810B9"/>
    <w:multiLevelType w:val="hybridMultilevel"/>
    <w:tmpl w:val="700C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19E4"/>
    <w:multiLevelType w:val="hybridMultilevel"/>
    <w:tmpl w:val="02CC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24623"/>
    <w:multiLevelType w:val="hybridMultilevel"/>
    <w:tmpl w:val="D36C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B3744"/>
    <w:multiLevelType w:val="hybridMultilevel"/>
    <w:tmpl w:val="F3C4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5D4"/>
    <w:multiLevelType w:val="hybridMultilevel"/>
    <w:tmpl w:val="E7CE6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36570"/>
    <w:multiLevelType w:val="hybridMultilevel"/>
    <w:tmpl w:val="7906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35A3A"/>
    <w:multiLevelType w:val="hybridMultilevel"/>
    <w:tmpl w:val="62F6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76E89"/>
    <w:multiLevelType w:val="hybridMultilevel"/>
    <w:tmpl w:val="A0FE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64628"/>
    <w:multiLevelType w:val="hybridMultilevel"/>
    <w:tmpl w:val="5076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E24E1"/>
    <w:multiLevelType w:val="hybridMultilevel"/>
    <w:tmpl w:val="ECF6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72CFE"/>
    <w:multiLevelType w:val="hybridMultilevel"/>
    <w:tmpl w:val="7B98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366DA"/>
    <w:multiLevelType w:val="hybridMultilevel"/>
    <w:tmpl w:val="E9C4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968F2"/>
    <w:multiLevelType w:val="hybridMultilevel"/>
    <w:tmpl w:val="916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F5B7B"/>
    <w:multiLevelType w:val="hybridMultilevel"/>
    <w:tmpl w:val="6BEA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02921"/>
    <w:multiLevelType w:val="hybridMultilevel"/>
    <w:tmpl w:val="0838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53AEF"/>
    <w:multiLevelType w:val="hybridMultilevel"/>
    <w:tmpl w:val="6BAC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5"/>
  </w:num>
  <w:num w:numId="8">
    <w:abstractNumId w:val="1"/>
  </w:num>
  <w:num w:numId="9">
    <w:abstractNumId w:val="3"/>
  </w:num>
  <w:num w:numId="10">
    <w:abstractNumId w:val="16"/>
  </w:num>
  <w:num w:numId="11">
    <w:abstractNumId w:val="10"/>
  </w:num>
  <w:num w:numId="12">
    <w:abstractNumId w:val="17"/>
  </w:num>
  <w:num w:numId="13">
    <w:abstractNumId w:val="2"/>
  </w:num>
  <w:num w:numId="14">
    <w:abstractNumId w:val="7"/>
  </w:num>
  <w:num w:numId="15">
    <w:abstractNumId w:val="14"/>
  </w:num>
  <w:num w:numId="16">
    <w:abstractNumId w:val="0"/>
  </w:num>
  <w:num w:numId="17">
    <w:abstractNumId w:val="12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69"/>
    <w:rsid w:val="00185281"/>
    <w:rsid w:val="00325E7B"/>
    <w:rsid w:val="006E1269"/>
    <w:rsid w:val="00813098"/>
    <w:rsid w:val="008B0722"/>
    <w:rsid w:val="0096762D"/>
    <w:rsid w:val="00AB147C"/>
    <w:rsid w:val="00CB67C6"/>
    <w:rsid w:val="00D274A4"/>
    <w:rsid w:val="00E37C69"/>
    <w:rsid w:val="00EB1E6A"/>
    <w:rsid w:val="00F86EDE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E1269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98"/>
    <w:pPr>
      <w:ind w:left="720"/>
      <w:contextualSpacing/>
    </w:pPr>
  </w:style>
  <w:style w:type="table" w:styleId="TableGrid">
    <w:name w:val="Table Grid"/>
    <w:basedOn w:val="TableNormal"/>
    <w:uiPriority w:val="59"/>
    <w:rsid w:val="0096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1269"/>
    <w:rPr>
      <w:rFonts w:ascii="Arial" w:eastAsia="Times New Roman" w:hAnsi="Arial" w:cs="Arial"/>
      <w:b/>
      <w:bCs/>
      <w:color w:val="000000"/>
      <w:kern w:val="2"/>
      <w:sz w:val="20"/>
      <w:szCs w:val="20"/>
      <w:lang w:eastAsia="en-GB"/>
    </w:rPr>
  </w:style>
  <w:style w:type="paragraph" w:styleId="NoSpacing">
    <w:name w:val="No Spacing"/>
    <w:uiPriority w:val="1"/>
    <w:qFormat/>
    <w:rsid w:val="006E1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E1269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98"/>
    <w:pPr>
      <w:ind w:left="720"/>
      <w:contextualSpacing/>
    </w:pPr>
  </w:style>
  <w:style w:type="table" w:styleId="TableGrid">
    <w:name w:val="Table Grid"/>
    <w:basedOn w:val="TableNormal"/>
    <w:uiPriority w:val="59"/>
    <w:rsid w:val="0096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1269"/>
    <w:rPr>
      <w:rFonts w:ascii="Arial" w:eastAsia="Times New Roman" w:hAnsi="Arial" w:cs="Arial"/>
      <w:b/>
      <w:bCs/>
      <w:color w:val="000000"/>
      <w:kern w:val="2"/>
      <w:sz w:val="20"/>
      <w:szCs w:val="20"/>
      <w:lang w:eastAsia="en-GB"/>
    </w:rPr>
  </w:style>
  <w:style w:type="paragraph" w:styleId="NoSpacing">
    <w:name w:val="No Spacing"/>
    <w:uiPriority w:val="1"/>
    <w:qFormat/>
    <w:rsid w:val="006E1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sgfl.westsussex.gov.uk/ccm/cms-service/stream/image/?image_id=23948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84DD-6623-4943-9F12-8912189A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Cooper [MGC]</dc:creator>
  <cp:lastModifiedBy>Samantha Bryant</cp:lastModifiedBy>
  <cp:revision>10</cp:revision>
  <cp:lastPrinted>2016-07-15T10:14:00Z</cp:lastPrinted>
  <dcterms:created xsi:type="dcterms:W3CDTF">2016-07-15T09:14:00Z</dcterms:created>
  <dcterms:modified xsi:type="dcterms:W3CDTF">2016-09-12T09:05:00Z</dcterms:modified>
</cp:coreProperties>
</file>